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rPr>
          <w:rFonts w:ascii="Arial" w:hAnsi="Arial"/>
          <w:b/>
          <w:color w:val="0A1F44"/>
          <w:sz w:val="64"/>
        </w:rPr>
        <w:t>CLOUD HEALTH</w:t>
      </w:r>
    </w:p>
    <w:p>
      <w:pPr>
        <w:jc w:val="center"/>
      </w:pPr>
      <w:r>
        <w:rPr>
          <w:rFonts w:ascii="Arial" w:hAnsi="Arial"/>
          <w:color w:val="00B5A3"/>
          <w:sz w:val="44"/>
        </w:rPr>
        <w:t>Client Onboarding Playbook</w:t>
      </w:r>
    </w:p>
    <w:p/>
    <w:p>
      <w:pPr>
        <w:jc w:val="center"/>
      </w:pPr>
      <w:r>
        <w:rPr>
          <w:rFonts w:ascii="Arial" w:hAnsi="Arial"/>
          <w:i/>
          <w:color w:val="4A5A6A"/>
          <w:sz w:val="26"/>
        </w:rPr>
        <w:t>Post-Contract Kickoff · Frontend &amp; Backend Setup · Operations &amp; Support</w:t>
      </w:r>
    </w:p>
    <w:p/>
    <w:tbl>
      <w:tblPr>
        <w:tblStyle w:val="TableGrid"/>
        <w:tblW w:type="auto" w:w="0"/>
        <w:jc w:val="left"/>
        <w:tblLook w:firstColumn="1" w:firstRow="1" w:lastColumn="0" w:lastRow="0" w:noHBand="0" w:noVBand="1" w:val="04A0"/>
      </w:tblPr>
      <w:tblGrid>
        <w:gridCol w:w="3216"/>
        <w:gridCol w:w="3216"/>
        <w:gridCol w:w="3216"/>
      </w:tblGrid>
      <w:tr>
        <w:tc>
          <w:tcPr>
            <w:tcW w:type="dxa" w:w="3216"/>
            <w:shd w:val="clear" w:color="auto" w:fill="0A1F44"/>
            <w:tcMar>
              <w:top w:w="80" w:type="dxa"/>
              <w:bottom w:w="80" w:type="dxa"/>
              <w:left w:w="120" w:type="dxa"/>
              <w:right w:w="120" w:type="dxa"/>
            </w:tcMar>
            <w:tcW w:w="1440" w:type="dxa"/>
          </w:tcPr>
          <w:p>
            <w:r>
              <w:rPr>
                <w:rFonts w:ascii="Arial" w:hAnsi="Arial"/>
                <w:b/>
                <w:color w:val="FFFFFF"/>
                <w:sz w:val="20"/>
              </w:rPr>
              <w:t>Phase</w:t>
            </w:r>
          </w:p>
        </w:tc>
        <w:tc>
          <w:tcPr>
            <w:tcW w:type="dxa" w:w="3216"/>
            <w:shd w:val="clear" w:color="auto" w:fill="0A1F44"/>
            <w:tcMar>
              <w:top w:w="80" w:type="dxa"/>
              <w:bottom w:w="80" w:type="dxa"/>
              <w:left w:w="120" w:type="dxa"/>
              <w:right w:w="120" w:type="dxa"/>
            </w:tcMar>
            <w:tcW w:w="5760" w:type="dxa"/>
          </w:tcPr>
          <w:p>
            <w:r>
              <w:rPr>
                <w:rFonts w:ascii="Arial" w:hAnsi="Arial"/>
                <w:b/>
                <w:color w:val="FFFFFF"/>
                <w:sz w:val="20"/>
              </w:rPr>
              <w:t>Milestone</w:t>
            </w:r>
          </w:p>
        </w:tc>
        <w:tc>
          <w:tcPr>
            <w:tcW w:type="dxa" w:w="3216"/>
            <w:shd w:val="clear" w:color="auto" w:fill="0A1F44"/>
            <w:tcMar>
              <w:top w:w="80" w:type="dxa"/>
              <w:bottom w:w="80" w:type="dxa"/>
              <w:left w:w="120" w:type="dxa"/>
              <w:right w:w="120" w:type="dxa"/>
            </w:tcMar>
            <w:tcW w:w="2160" w:type="dxa"/>
          </w:tcPr>
          <w:p>
            <w:r>
              <w:rPr>
                <w:rFonts w:ascii="Arial" w:hAnsi="Arial"/>
                <w:b/>
                <w:color w:val="FFFFFF"/>
                <w:sz w:val="20"/>
              </w:rPr>
              <w:t>Timeline</w:t>
            </w:r>
          </w:p>
        </w:tc>
      </w:tr>
      <w:tr>
        <w:tc>
          <w:tcPr>
            <w:tcW w:type="dxa" w:w="3216"/>
            <w:shd w:val="clear" w:color="auto" w:fill="F4F6F8"/>
            <w:tcMar>
              <w:top w:w="80" w:type="dxa"/>
              <w:bottom w:w="80" w:type="dxa"/>
              <w:left w:w="120" w:type="dxa"/>
              <w:right w:w="120" w:type="dxa"/>
            </w:tcMar>
            <w:tcW w:w="1440" w:type="dxa"/>
          </w:tcPr>
          <w:p>
            <w:r>
              <w:rPr>
                <w:rFonts w:ascii="Arial" w:hAnsi="Arial"/>
                <w:color w:val="4A5A6A"/>
                <w:sz w:val="20"/>
              </w:rPr>
              <w:t>Phase 1</w:t>
            </w:r>
          </w:p>
        </w:tc>
        <w:tc>
          <w:tcPr>
            <w:tcW w:type="dxa" w:w="3216"/>
            <w:shd w:val="clear" w:color="auto" w:fill="F4F6F8"/>
            <w:tcMar>
              <w:top w:w="80" w:type="dxa"/>
              <w:bottom w:w="80" w:type="dxa"/>
              <w:left w:w="120" w:type="dxa"/>
              <w:right w:w="120" w:type="dxa"/>
            </w:tcMar>
            <w:tcW w:w="5760" w:type="dxa"/>
          </w:tcPr>
          <w:p>
            <w:r>
              <w:rPr>
                <w:rFonts w:ascii="Arial" w:hAnsi="Arial"/>
                <w:color w:val="4A5A6A"/>
                <w:sz w:val="20"/>
              </w:rPr>
              <w:t>Contract Signed → Kickoff Call</w:t>
            </w:r>
          </w:p>
        </w:tc>
        <w:tc>
          <w:tcPr>
            <w:tcW w:type="dxa" w:w="3216"/>
            <w:shd w:val="clear" w:color="auto" w:fill="F4F6F8"/>
            <w:tcMar>
              <w:top w:w="80" w:type="dxa"/>
              <w:bottom w:w="80" w:type="dxa"/>
              <w:left w:w="120" w:type="dxa"/>
              <w:right w:w="120" w:type="dxa"/>
            </w:tcMar>
            <w:tcW w:w="2160" w:type="dxa"/>
          </w:tcPr>
          <w:p>
            <w:r>
              <w:rPr>
                <w:rFonts w:ascii="Arial" w:hAnsi="Arial"/>
                <w:color w:val="4A5A6A"/>
                <w:sz w:val="20"/>
              </w:rPr>
              <w:t>Days 1–2</w:t>
            </w:r>
          </w:p>
        </w:tc>
      </w:tr>
      <w:tr>
        <w:tc>
          <w:tcPr>
            <w:tcW w:type="dxa" w:w="3216"/>
            <w:shd w:val="clear" w:color="auto" w:fill="FFFFFF"/>
            <w:tcMar>
              <w:top w:w="80" w:type="dxa"/>
              <w:bottom w:w="80" w:type="dxa"/>
              <w:left w:w="120" w:type="dxa"/>
              <w:right w:w="120" w:type="dxa"/>
            </w:tcMar>
            <w:tcW w:w="1440" w:type="dxa"/>
          </w:tcPr>
          <w:p>
            <w:r>
              <w:rPr>
                <w:rFonts w:ascii="Arial" w:hAnsi="Arial"/>
                <w:color w:val="4A5A6A"/>
                <w:sz w:val="20"/>
              </w:rPr>
              <w:t>Phase 2</w:t>
            </w:r>
          </w:p>
        </w:tc>
        <w:tc>
          <w:tcPr>
            <w:tcW w:type="dxa" w:w="3216"/>
            <w:shd w:val="clear" w:color="auto" w:fill="FFFFFF"/>
            <w:tcMar>
              <w:top w:w="80" w:type="dxa"/>
              <w:bottom w:w="80" w:type="dxa"/>
              <w:left w:w="120" w:type="dxa"/>
              <w:right w:w="120" w:type="dxa"/>
            </w:tcMar>
            <w:tcW w:w="5760" w:type="dxa"/>
          </w:tcPr>
          <w:p>
            <w:r>
              <w:rPr>
                <w:rFonts w:ascii="Arial" w:hAnsi="Arial"/>
                <w:color w:val="4A5A6A"/>
                <w:sz w:val="20"/>
              </w:rPr>
              <w:t>Frontend Requirements Assessment</w:t>
            </w:r>
          </w:p>
        </w:tc>
        <w:tc>
          <w:tcPr>
            <w:tcW w:type="dxa" w:w="3216"/>
            <w:shd w:val="clear" w:color="auto" w:fill="FFFFFF"/>
            <w:tcMar>
              <w:top w:w="80" w:type="dxa"/>
              <w:bottom w:w="80" w:type="dxa"/>
              <w:left w:w="120" w:type="dxa"/>
              <w:right w:w="120" w:type="dxa"/>
            </w:tcMar>
            <w:tcW w:w="2160" w:type="dxa"/>
          </w:tcPr>
          <w:p>
            <w:r>
              <w:rPr>
                <w:rFonts w:ascii="Arial" w:hAnsi="Arial"/>
                <w:color w:val="4A5A6A"/>
                <w:sz w:val="20"/>
              </w:rPr>
              <w:t>Days 2–5</w:t>
            </w:r>
          </w:p>
        </w:tc>
      </w:tr>
      <w:tr>
        <w:tc>
          <w:tcPr>
            <w:tcW w:type="dxa" w:w="3216"/>
            <w:shd w:val="clear" w:color="auto" w:fill="F4F6F8"/>
            <w:tcMar>
              <w:top w:w="80" w:type="dxa"/>
              <w:bottom w:w="80" w:type="dxa"/>
              <w:left w:w="120" w:type="dxa"/>
              <w:right w:w="120" w:type="dxa"/>
            </w:tcMar>
            <w:tcW w:w="1440" w:type="dxa"/>
          </w:tcPr>
          <w:p>
            <w:r>
              <w:rPr>
                <w:rFonts w:ascii="Arial" w:hAnsi="Arial"/>
                <w:color w:val="4A5A6A"/>
                <w:sz w:val="20"/>
              </w:rPr>
              <w:t>Phase 3</w:t>
            </w:r>
          </w:p>
        </w:tc>
        <w:tc>
          <w:tcPr>
            <w:tcW w:type="dxa" w:w="3216"/>
            <w:shd w:val="clear" w:color="auto" w:fill="F4F6F8"/>
            <w:tcMar>
              <w:top w:w="80" w:type="dxa"/>
              <w:bottom w:w="80" w:type="dxa"/>
              <w:left w:w="120" w:type="dxa"/>
              <w:right w:w="120" w:type="dxa"/>
            </w:tcMar>
            <w:tcW w:w="5760" w:type="dxa"/>
          </w:tcPr>
          <w:p>
            <w:r>
              <w:rPr>
                <w:rFonts w:ascii="Arial" w:hAnsi="Arial"/>
                <w:color w:val="4A5A6A"/>
                <w:sz w:val="20"/>
              </w:rPr>
              <w:t>Backend Requirements Assessment</w:t>
            </w:r>
          </w:p>
        </w:tc>
        <w:tc>
          <w:tcPr>
            <w:tcW w:type="dxa" w:w="3216"/>
            <w:shd w:val="clear" w:color="auto" w:fill="F4F6F8"/>
            <w:tcMar>
              <w:top w:w="80" w:type="dxa"/>
              <w:bottom w:w="80" w:type="dxa"/>
              <w:left w:w="120" w:type="dxa"/>
              <w:right w:w="120" w:type="dxa"/>
            </w:tcMar>
            <w:tcW w:w="2160" w:type="dxa"/>
          </w:tcPr>
          <w:p>
            <w:r>
              <w:rPr>
                <w:rFonts w:ascii="Arial" w:hAnsi="Arial"/>
                <w:color w:val="4A5A6A"/>
                <w:sz w:val="20"/>
              </w:rPr>
              <w:t>Days 3–7</w:t>
            </w:r>
          </w:p>
        </w:tc>
      </w:tr>
      <w:tr>
        <w:tc>
          <w:tcPr>
            <w:tcW w:type="dxa" w:w="3216"/>
            <w:shd w:val="clear" w:color="auto" w:fill="FFFFFF"/>
            <w:tcMar>
              <w:top w:w="80" w:type="dxa"/>
              <w:bottom w:w="80" w:type="dxa"/>
              <w:left w:w="120" w:type="dxa"/>
              <w:right w:w="120" w:type="dxa"/>
            </w:tcMar>
            <w:tcW w:w="1440" w:type="dxa"/>
          </w:tcPr>
          <w:p>
            <w:r>
              <w:rPr>
                <w:rFonts w:ascii="Arial" w:hAnsi="Arial"/>
                <w:color w:val="4A5A6A"/>
                <w:sz w:val="20"/>
              </w:rPr>
              <w:t>Phase 4</w:t>
            </w:r>
          </w:p>
        </w:tc>
        <w:tc>
          <w:tcPr>
            <w:tcW w:type="dxa" w:w="3216"/>
            <w:shd w:val="clear" w:color="auto" w:fill="FFFFFF"/>
            <w:tcMar>
              <w:top w:w="80" w:type="dxa"/>
              <w:bottom w:w="80" w:type="dxa"/>
              <w:left w:w="120" w:type="dxa"/>
              <w:right w:w="120" w:type="dxa"/>
            </w:tcMar>
            <w:tcW w:w="5760" w:type="dxa"/>
          </w:tcPr>
          <w:p>
            <w:r>
              <w:rPr>
                <w:rFonts w:ascii="Arial" w:hAnsi="Arial"/>
                <w:color w:val="4A5A6A"/>
                <w:sz w:val="20"/>
              </w:rPr>
              <w:t>Build, Configure &amp; Integrate</w:t>
            </w:r>
          </w:p>
        </w:tc>
        <w:tc>
          <w:tcPr>
            <w:tcW w:type="dxa" w:w="3216"/>
            <w:shd w:val="clear" w:color="auto" w:fill="FFFFFF"/>
            <w:tcMar>
              <w:top w:w="80" w:type="dxa"/>
              <w:bottom w:w="80" w:type="dxa"/>
              <w:left w:w="120" w:type="dxa"/>
              <w:right w:w="120" w:type="dxa"/>
            </w:tcMar>
            <w:tcW w:w="2160" w:type="dxa"/>
          </w:tcPr>
          <w:p>
            <w:r>
              <w:rPr>
                <w:rFonts w:ascii="Arial" w:hAnsi="Arial"/>
                <w:color w:val="4A5A6A"/>
                <w:sz w:val="20"/>
              </w:rPr>
              <w:t>Days 5–12</w:t>
            </w:r>
          </w:p>
        </w:tc>
      </w:tr>
      <w:tr>
        <w:tc>
          <w:tcPr>
            <w:tcW w:type="dxa" w:w="3216"/>
            <w:shd w:val="clear" w:color="auto" w:fill="F4F6F8"/>
            <w:tcMar>
              <w:top w:w="80" w:type="dxa"/>
              <w:bottom w:w="80" w:type="dxa"/>
              <w:left w:w="120" w:type="dxa"/>
              <w:right w:w="120" w:type="dxa"/>
            </w:tcMar>
            <w:tcW w:w="1440" w:type="dxa"/>
          </w:tcPr>
          <w:p>
            <w:r>
              <w:rPr>
                <w:rFonts w:ascii="Arial" w:hAnsi="Arial"/>
                <w:color w:val="4A5A6A"/>
                <w:sz w:val="20"/>
              </w:rPr>
              <w:t>Phase 5</w:t>
            </w:r>
          </w:p>
        </w:tc>
        <w:tc>
          <w:tcPr>
            <w:tcW w:type="dxa" w:w="3216"/>
            <w:shd w:val="clear" w:color="auto" w:fill="F4F6F8"/>
            <w:tcMar>
              <w:top w:w="80" w:type="dxa"/>
              <w:bottom w:w="80" w:type="dxa"/>
              <w:left w:w="120" w:type="dxa"/>
              <w:right w:w="120" w:type="dxa"/>
            </w:tcMar>
            <w:tcW w:w="5760" w:type="dxa"/>
          </w:tcPr>
          <w:p>
            <w:r>
              <w:rPr>
                <w:rFonts w:ascii="Arial" w:hAnsi="Arial"/>
                <w:color w:val="4A5A6A"/>
                <w:sz w:val="20"/>
              </w:rPr>
              <w:t>QA, Testing &amp; Go-Live</w:t>
            </w:r>
          </w:p>
        </w:tc>
        <w:tc>
          <w:tcPr>
            <w:tcW w:type="dxa" w:w="3216"/>
            <w:shd w:val="clear" w:color="auto" w:fill="F4F6F8"/>
            <w:tcMar>
              <w:top w:w="80" w:type="dxa"/>
              <w:bottom w:w="80" w:type="dxa"/>
              <w:left w:w="120" w:type="dxa"/>
              <w:right w:w="120" w:type="dxa"/>
            </w:tcMar>
            <w:tcW w:w="2160" w:type="dxa"/>
          </w:tcPr>
          <w:p>
            <w:r>
              <w:rPr>
                <w:rFonts w:ascii="Arial" w:hAnsi="Arial"/>
                <w:color w:val="4A5A6A"/>
                <w:sz w:val="20"/>
              </w:rPr>
              <w:t>Days 12–14</w:t>
            </w:r>
          </w:p>
        </w:tc>
      </w:tr>
      <w:tr>
        <w:tc>
          <w:tcPr>
            <w:tcW w:type="dxa" w:w="3216"/>
            <w:shd w:val="clear" w:color="auto" w:fill="FFFFFF"/>
            <w:tcMar>
              <w:top w:w="80" w:type="dxa"/>
              <w:bottom w:w="80" w:type="dxa"/>
              <w:left w:w="120" w:type="dxa"/>
              <w:right w:w="120" w:type="dxa"/>
            </w:tcMar>
            <w:tcW w:w="1440" w:type="dxa"/>
          </w:tcPr>
          <w:p>
            <w:r>
              <w:rPr>
                <w:rFonts w:ascii="Arial" w:hAnsi="Arial"/>
                <w:color w:val="4A5A6A"/>
                <w:sz w:val="20"/>
              </w:rPr>
              <w:t>Phase 6</w:t>
            </w:r>
          </w:p>
        </w:tc>
        <w:tc>
          <w:tcPr>
            <w:tcW w:type="dxa" w:w="3216"/>
            <w:shd w:val="clear" w:color="auto" w:fill="FFFFFF"/>
            <w:tcMar>
              <w:top w:w="80" w:type="dxa"/>
              <w:bottom w:w="80" w:type="dxa"/>
              <w:left w:w="120" w:type="dxa"/>
              <w:right w:w="120" w:type="dxa"/>
            </w:tcMar>
            <w:tcW w:w="5760" w:type="dxa"/>
          </w:tcPr>
          <w:p>
            <w:r>
              <w:rPr>
                <w:rFonts w:ascii="Arial" w:hAnsi="Arial"/>
                <w:color w:val="4A5A6A"/>
                <w:sz w:val="20"/>
              </w:rPr>
              <w:t>Post-Launch Support &amp; Optimization</w:t>
            </w:r>
          </w:p>
        </w:tc>
        <w:tc>
          <w:tcPr>
            <w:tcW w:type="dxa" w:w="3216"/>
            <w:shd w:val="clear" w:color="auto" w:fill="FFFFFF"/>
            <w:tcMar>
              <w:top w:w="80" w:type="dxa"/>
              <w:bottom w:w="80" w:type="dxa"/>
              <w:left w:w="120" w:type="dxa"/>
              <w:right w:w="120" w:type="dxa"/>
            </w:tcMar>
            <w:tcW w:w="2160" w:type="dxa"/>
          </w:tcPr>
          <w:p>
            <w:r>
              <w:rPr>
                <w:rFonts w:ascii="Arial" w:hAnsi="Arial"/>
                <w:color w:val="4A5A6A"/>
                <w:sz w:val="20"/>
              </w:rPr>
              <w:t>Day 14+</w:t>
            </w:r>
          </w:p>
        </w:tc>
      </w:tr>
    </w:tbl>
    <w:p/>
    <w:tbl>
      <w:tblPr>
        <w:tblStyle w:val="TableGrid"/>
        <w:tblW w:type="auto" w:w="0"/>
        <w:tblLook w:firstColumn="1" w:firstRow="1" w:lastColumn="0" w:lastRow="0" w:noHBand="0" w:noVBand="1" w:val="04A0"/>
      </w:tblPr>
      <w:tblGrid>
        <w:gridCol w:w="9648"/>
      </w:tblGrid>
      <w:tr>
        <w:tc>
          <w:tcPr>
            <w:tcW w:type="dxa" w:w="9648"/>
            <w:shd w:val="clear" w:color="auto" w:fill="E8F7F6"/>
            <w:tcMar>
              <w:top w:w="120" w:type="dxa"/>
              <w:bottom w:w="120" w:type="dxa"/>
              <w:left w:w="160" w:type="dxa"/>
              <w:right w:w="160" w:type="dxa"/>
            </w:tcMar>
            <w:tcW w:w="9360" w:type="dxa"/>
          </w:tcPr>
          <w:p>
            <w:r>
              <w:rPr>
                <w:rFonts w:ascii="Arial" w:hAnsi="Arial"/>
                <w:color w:val="0A1F44"/>
                <w:sz w:val="22"/>
              </w:rPr>
              <w:t>ℹ️  Cloud Health's standard go-live SLA is 14 business days from contract signing. Custom integrations, LegitScript processing, and custom pharmacy implementations may extend this timeline. Your Partner Success Manager will provide a revised timeline at kickoff if any non-standard requirements are identified.</w:t>
            </w:r>
          </w:p>
        </w:tc>
      </w:tr>
    </w:tbl>
    <w:p/>
    <w:p>
      <w:r>
        <w:br w:type="page"/>
      </w:r>
    </w:p>
    <w:p>
      <w:pPr>
        <w:spacing w:before="360" w:after="80"/>
        <w:pBdr>
          <w:bottom w:val="single" w:sz="8" w:space="4" w:color="00B5A3"/>
        </w:pBdr>
      </w:pPr>
      <w:r>
        <w:rPr>
          <w:rFonts w:ascii="Arial" w:hAnsi="Arial"/>
          <w:b/>
          <w:color w:val="0A1F44"/>
          <w:sz w:val="36"/>
        </w:rPr>
        <w:t>SECTION 1 — Kickoff Call &amp; Pre-Assessment</w:t>
      </w:r>
    </w:p>
    <w:p>
      <w:pPr>
        <w:spacing w:before="0" w:after="120"/>
        <w:jc w:val="left"/>
      </w:pPr>
      <w:r>
        <w:rPr>
          <w:rFonts w:ascii="Arial" w:hAnsi="Arial"/>
          <w:b w:val="0"/>
          <w:i w:val="0"/>
          <w:color w:val="4A5A6A"/>
          <w:sz w:val="22"/>
        </w:rPr>
        <w:t>Within 24 hours of contract signing, your Cloud Health Partner Success Manager (PSM) will schedule a kickoff call. The goal of the kickoff is to complete the requirements assessment that drives your entire onboarding configuration. Come prepared.</w:t>
      </w:r>
    </w:p>
    <w:p>
      <w:pPr>
        <w:spacing w:before="280" w:after="80"/>
      </w:pPr>
      <w:r>
        <w:rPr>
          <w:rFonts w:ascii="Arial" w:hAnsi="Arial"/>
          <w:b/>
          <w:color w:val="0A1F44"/>
          <w:sz w:val="28"/>
        </w:rPr>
        <w:t>Who Should Be on the Kickoff Call</w:t>
      </w:r>
    </w:p>
    <w:p>
      <w:pPr>
        <w:pStyle w:val="ListBullet"/>
        <w:spacing w:before="20" w:after="40"/>
        <w:ind w:left="288"/>
      </w:pPr>
      <w:r>
        <w:rPr>
          <w:rFonts w:ascii="Arial" w:hAnsi="Arial"/>
          <w:b/>
          <w:color w:val="0A1F44"/>
          <w:sz w:val="22"/>
        </w:rPr>
        <w:t xml:space="preserve">Client Side:  </w:t>
      </w:r>
      <w:r>
        <w:rPr>
          <w:rFonts w:ascii="Arial" w:hAnsi="Arial"/>
          <w:color w:val="4A5A6A"/>
          <w:sz w:val="22"/>
        </w:rPr>
        <w:t>Founder/CEO or Product Lead, Technical Lead (if applicable), Marketing/Growth Lead, Operations Lead or Pharmacy contact</w:t>
      </w:r>
    </w:p>
    <w:p>
      <w:pPr>
        <w:pStyle w:val="ListBullet"/>
        <w:spacing w:before="20" w:after="40"/>
        <w:ind w:left="288"/>
      </w:pPr>
      <w:r>
        <w:rPr>
          <w:rFonts w:ascii="Arial" w:hAnsi="Arial"/>
          <w:b/>
          <w:color w:val="0A1F44"/>
          <w:sz w:val="22"/>
        </w:rPr>
        <w:t xml:space="preserve">Cloud Health:  </w:t>
      </w:r>
      <w:r>
        <w:rPr>
          <w:rFonts w:ascii="Arial" w:hAnsi="Arial"/>
          <w:color w:val="4A5A6A"/>
          <w:sz w:val="22"/>
        </w:rPr>
        <w:t>Partner Success Manager (lead), Solutions Engineer, Clinical Operations Coordinator</w:t>
      </w:r>
    </w:p>
    <w:p/>
    <w:p>
      <w:pPr>
        <w:spacing w:before="280" w:after="80"/>
      </w:pPr>
      <w:r>
        <w:rPr>
          <w:rFonts w:ascii="Arial" w:hAnsi="Arial"/>
          <w:b/>
          <w:color w:val="0A1F44"/>
          <w:sz w:val="28"/>
        </w:rPr>
        <w:t>Pre-Kickoff Information to Gather</w:t>
      </w:r>
    </w:p>
    <w:p>
      <w:pPr>
        <w:pStyle w:val="ListBullet"/>
        <w:spacing w:before="20" w:after="40"/>
        <w:ind w:left="288"/>
      </w:pPr>
      <w:r>
        <w:rPr>
          <w:rFonts w:ascii="Arial" w:hAnsi="Arial"/>
          <w:color w:val="4A5A6A"/>
          <w:sz w:val="22"/>
        </w:rPr>
        <w:t>Business name, registered entity, and state(s) of primary operation</w:t>
      </w:r>
    </w:p>
    <w:p>
      <w:pPr>
        <w:pStyle w:val="ListBullet"/>
        <w:spacing w:before="20" w:after="40"/>
        <w:ind w:left="288"/>
      </w:pPr>
      <w:r>
        <w:rPr>
          <w:rFonts w:ascii="Arial" w:hAnsi="Arial"/>
          <w:color w:val="4A5A6A"/>
          <w:sz w:val="22"/>
        </w:rPr>
        <w:t>LegitScript certification status (certification number if applicable)</w:t>
      </w:r>
    </w:p>
    <w:p>
      <w:pPr>
        <w:pStyle w:val="ListBullet"/>
        <w:spacing w:before="20" w:after="40"/>
        <w:ind w:left="288"/>
      </w:pPr>
      <w:r>
        <w:rPr>
          <w:rFonts w:ascii="Arial" w:hAnsi="Arial"/>
          <w:color w:val="4A5A6A"/>
          <w:sz w:val="22"/>
        </w:rPr>
        <w:t>Existing frontend/website URLs and whether they are hosted externally</w:t>
      </w:r>
    </w:p>
    <w:p>
      <w:pPr>
        <w:pStyle w:val="ListBullet"/>
        <w:spacing w:before="20" w:after="40"/>
        <w:ind w:left="288"/>
      </w:pPr>
      <w:r>
        <w:rPr>
          <w:rFonts w:ascii="Arial" w:hAnsi="Arial"/>
          <w:color w:val="4A5A6A"/>
          <w:sz w:val="22"/>
        </w:rPr>
        <w:t>Current payment processor(s) and merchant account details</w:t>
      </w:r>
    </w:p>
    <w:p>
      <w:pPr>
        <w:pStyle w:val="ListBullet"/>
        <w:spacing w:before="20" w:after="40"/>
        <w:ind w:left="288"/>
      </w:pPr>
      <w:r>
        <w:rPr>
          <w:rFonts w:ascii="Arial" w:hAnsi="Arial"/>
          <w:color w:val="4A5A6A"/>
          <w:sz w:val="22"/>
        </w:rPr>
        <w:t>Doctor group name, NPI roster, and DEA license details (if client-owned group)</w:t>
      </w:r>
    </w:p>
    <w:p>
      <w:pPr>
        <w:pStyle w:val="ListBullet"/>
        <w:spacing w:before="20" w:after="40"/>
        <w:ind w:left="288"/>
      </w:pPr>
      <w:r>
        <w:rPr>
          <w:rFonts w:ascii="Arial" w:hAnsi="Arial"/>
          <w:color w:val="4A5A6A"/>
          <w:sz w:val="22"/>
        </w:rPr>
        <w:t>Pharmacy partner name(s) and any existing integration documentation</w:t>
      </w:r>
    </w:p>
    <w:p>
      <w:pPr>
        <w:pStyle w:val="ListBullet"/>
        <w:spacing w:before="20" w:after="40"/>
        <w:ind w:left="288"/>
      </w:pPr>
      <w:r>
        <w:rPr>
          <w:rFonts w:ascii="Arial" w:hAnsi="Arial"/>
          <w:color w:val="4A5A6A"/>
          <w:sz w:val="22"/>
        </w:rPr>
        <w:t>Complete medication list by SKU including dosage, form, and fulfillment source</w:t>
      </w:r>
    </w:p>
    <w:p>
      <w:pPr>
        <w:pStyle w:val="ListBullet"/>
        <w:spacing w:before="20" w:after="40"/>
        <w:ind w:left="288"/>
      </w:pPr>
      <w:r>
        <w:rPr>
          <w:rFonts w:ascii="Arial" w:hAnsi="Arial"/>
          <w:color w:val="4A5A6A"/>
          <w:sz w:val="22"/>
        </w:rPr>
        <w:t>CX platform/helpdesk in use (Zendesk, Intercom, Gorgias, etc.)</w:t>
      </w:r>
    </w:p>
    <w:p>
      <w:pPr>
        <w:pStyle w:val="ListBullet"/>
        <w:spacing w:before="20" w:after="40"/>
        <w:ind w:left="288"/>
      </w:pPr>
      <w:r>
        <w:rPr>
          <w:rFonts w:ascii="Arial" w:hAnsi="Arial"/>
          <w:color w:val="4A5A6A"/>
          <w:sz w:val="22"/>
        </w:rPr>
        <w:t>Marketing stack: ad platforms, analytics tools, affiliate networks in use</w:t>
      </w:r>
    </w:p>
    <w:p>
      <w:pPr>
        <w:pStyle w:val="ListBullet"/>
        <w:spacing w:before="20" w:after="40"/>
        <w:ind w:left="288"/>
      </w:pPr>
      <w:r>
        <w:rPr>
          <w:rFonts w:ascii="Arial" w:hAnsi="Arial"/>
          <w:color w:val="4A5A6A"/>
          <w:sz w:val="22"/>
        </w:rPr>
        <w:t>Anticipated patient/order volume at launch and 90-day projected volume</w:t>
      </w:r>
    </w:p>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2 — Frontend Requirements</w:t>
      </w:r>
    </w:p>
    <w:p>
      <w:pPr>
        <w:spacing w:before="0" w:after="120"/>
        <w:jc w:val="left"/>
      </w:pPr>
      <w:r>
        <w:rPr>
          <w:rFonts w:ascii="Arial" w:hAnsi="Arial"/>
          <w:b w:val="0"/>
          <w:i w:val="0"/>
          <w:color w:val="4A5A6A"/>
          <w:sz w:val="22"/>
        </w:rPr>
        <w:t>Frontend setup determines how patients interact with your brand — from landing page through checkout. Every decision here has downstream implications for integration timelines and costs. Work through each item in order.</w:t>
      </w:r>
    </w:p>
    <w:p>
      <w:pPr>
        <w:spacing w:before="280" w:after="80"/>
      </w:pPr>
      <w:r>
        <w:rPr>
          <w:rFonts w:ascii="Arial" w:hAnsi="Arial"/>
          <w:b/>
          <w:color w:val="0A1F44"/>
          <w:sz w:val="28"/>
        </w:rPr>
        <w:t>2.1  LegitScript Verification</w:t>
      </w:r>
    </w:p>
    <w:p>
      <w:pPr>
        <w:spacing w:before="0" w:after="120"/>
        <w:jc w:val="left"/>
      </w:pPr>
      <w:r>
        <w:rPr>
          <w:rFonts w:ascii="Arial" w:hAnsi="Arial"/>
          <w:b w:val="0"/>
          <w:i w:val="0"/>
          <w:color w:val="4A5A6A"/>
          <w:sz w:val="22"/>
        </w:rPr>
        <w:t>LegitScript certification is required for all Cloud Health clients running paid digital advertising (Google Ads, Meta, TikTok) for prescription medications or telehealth services. Without it, ad accounts will be suspended. This is non-negotiable for any client with a paid acquisition strategy.</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active LegitScript certification?</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Collect certification number and expiration date.</w:t>
              <w:br/>
              <w:t>Verify against LegitScript public registry.</w:t>
              <w:br/>
              <w:t>Upload credentials to Cloud Health compliance portal.</w:t>
              <w:br/>
              <w:t>Mark LegitScript as cleared — proceed.</w:t>
            </w:r>
          </w:p>
          <w:p/>
          <w:p>
            <w:r>
              <w:rPr>
                <w:rFonts w:ascii="Arial" w:hAnsi="Arial"/>
                <w:i/>
                <w:color w:val="4A5A6A"/>
                <w:sz w:val="18"/>
              </w:rPr>
              <w:t>Note: Certifications must be current. Expired certifications must be renewed before ad accounts can be activated.</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Initiate LegitScript OPP (Online Pharmacy Program) process immediately.</w:t>
              <w:br/>
              <w:t>Do not activate paid ad channels until certification is received.</w:t>
            </w:r>
          </w:p>
          <w:p/>
          <w:p>
            <w:r>
              <w:rPr>
                <w:rFonts w:ascii="Arial" w:hAnsi="Arial"/>
                <w:i/>
                <w:color w:val="4A5A6A"/>
                <w:sz w:val="18"/>
              </w:rPr>
              <w:t>Timeline: 2–6 weeks (standard). 1–2 weeks (expedited, additional fee).</w:t>
              <w:br/>
              <w:t>Cloud Health can support the application — flag for PSM.</w:t>
            </w:r>
          </w:p>
        </w:tc>
      </w:tr>
    </w:tbl>
    <w:p/>
    <w:p>
      <w:pPr>
        <w:spacing w:before="200" w:after="60"/>
      </w:pPr>
      <w:r>
        <w:rPr>
          <w:rFonts w:ascii="Arial" w:hAnsi="Arial"/>
          <w:b/>
          <w:color w:val="00B5A3"/>
          <w:sz w:val="24"/>
        </w:rPr>
        <w:t>LegitScript Application Process (if needed)</w:t>
      </w:r>
    </w:p>
    <w:p>
      <w:pPr>
        <w:pStyle w:val="ListBullet"/>
        <w:spacing w:before="20" w:after="40"/>
        <w:ind w:left="288"/>
      </w:pPr>
      <w:r>
        <w:rPr>
          <w:rFonts w:ascii="Arial" w:hAnsi="Arial"/>
          <w:b/>
          <w:color w:val="0A1F44"/>
          <w:sz w:val="22"/>
        </w:rPr>
        <w:t>Step 1 — Determine certification type:</w:t>
      </w:r>
      <w:r>
        <w:rPr>
          <w:rFonts w:ascii="Arial" w:hAnsi="Arial"/>
          <w:color w:val="4A5A6A"/>
          <w:sz w:val="22"/>
        </w:rPr>
        <w:t xml:space="preserve"> OPP (Online Pharmacy Program) for Rx telehealth. Health &amp; Wellness for OTC-only brands. Most Cloud Health clients require OPP.</w:t>
      </w:r>
    </w:p>
    <w:p>
      <w:pPr>
        <w:pStyle w:val="ListBullet"/>
        <w:spacing w:before="20" w:after="40"/>
        <w:ind w:left="288"/>
      </w:pPr>
      <w:r>
        <w:rPr>
          <w:rFonts w:ascii="Arial" w:hAnsi="Arial"/>
          <w:b/>
          <w:color w:val="0A1F44"/>
          <w:sz w:val="22"/>
        </w:rPr>
        <w:t>Step 2 — Gather required documents:</w:t>
      </w:r>
      <w:r>
        <w:rPr>
          <w:rFonts w:ascii="Arial" w:hAnsi="Arial"/>
          <w:color w:val="4A5A6A"/>
          <w:sz w:val="22"/>
        </w:rPr>
        <w:t xml:space="preserve"> State pharmacy licenses, physician group documentation, DEA registrations, business registration, website URL for review.</w:t>
      </w:r>
    </w:p>
    <w:p>
      <w:pPr>
        <w:pStyle w:val="ListBullet"/>
        <w:spacing w:before="20" w:after="40"/>
        <w:ind w:left="288"/>
      </w:pPr>
      <w:r>
        <w:rPr>
          <w:rFonts w:ascii="Arial" w:hAnsi="Arial"/>
          <w:b/>
          <w:color w:val="0A1F44"/>
          <w:sz w:val="22"/>
        </w:rPr>
        <w:t>Step 3 — Submit application:</w:t>
      </w:r>
      <w:r>
        <w:rPr>
          <w:rFonts w:ascii="Arial" w:hAnsi="Arial"/>
          <w:color w:val="4A5A6A"/>
          <w:sz w:val="22"/>
        </w:rPr>
        <w:t xml:space="preserve"> Apply at legitscript.com. Fee: ~$700 initial + $1,400/year renewal (OPP tier).</w:t>
      </w:r>
    </w:p>
    <w:p>
      <w:pPr>
        <w:pStyle w:val="ListBullet"/>
        <w:spacing w:before="20" w:after="40"/>
        <w:ind w:left="288"/>
      </w:pPr>
      <w:r>
        <w:rPr>
          <w:rFonts w:ascii="Arial" w:hAnsi="Arial"/>
          <w:b/>
          <w:color w:val="0A1F44"/>
          <w:sz w:val="22"/>
        </w:rPr>
        <w:t>Step 4 — Site review:</w:t>
      </w:r>
      <w:r>
        <w:rPr>
          <w:rFonts w:ascii="Arial" w:hAnsi="Arial"/>
          <w:color w:val="4A5A6A"/>
          <w:sz w:val="22"/>
        </w:rPr>
        <w:t xml:space="preserve"> LegitScript reviews client's website for compliance. Cloud Health PSM reviews all site content prior to submission.</w:t>
      </w:r>
    </w:p>
    <w:p>
      <w:pPr>
        <w:pStyle w:val="ListBullet"/>
        <w:spacing w:before="20" w:after="40"/>
        <w:ind w:left="288"/>
      </w:pPr>
      <w:r>
        <w:rPr>
          <w:rFonts w:ascii="Arial" w:hAnsi="Arial"/>
          <w:b/>
          <w:color w:val="0A1F44"/>
          <w:sz w:val="22"/>
        </w:rPr>
        <w:t>Step 5 — Approval &amp; activation:</w:t>
      </w:r>
      <w:r>
        <w:rPr>
          <w:rFonts w:ascii="Arial" w:hAnsi="Arial"/>
          <w:color w:val="4A5A6A"/>
          <w:sz w:val="22"/>
        </w:rPr>
        <w:t xml:space="preserve"> Once approved, credential is added to Google/Meta advertiser accounts. Typically 2–6 weeks from submission.</w:t>
      </w:r>
    </w:p>
    <w:p/>
    <w:p>
      <w:pPr>
        <w:spacing w:before="120" w:after="120"/>
        <w:pBdr>
          <w:bottom w:val="single" w:sz="4" w:space="1" w:color="E2E8F0"/>
        </w:pBdr>
      </w:pPr>
    </w:p>
    <w:p>
      <w:pPr>
        <w:spacing w:before="280" w:after="80"/>
      </w:pPr>
      <w:r>
        <w:rPr>
          <w:rFonts w:ascii="Arial" w:hAnsi="Arial"/>
          <w:b/>
          <w:color w:val="0A1F44"/>
          <w:sz w:val="28"/>
        </w:rPr>
        <w:t>2.2  Frontend Designs &amp; Hosting</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existing frontend designs?</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Proceed to hosting question below.</w:t>
              <w:br/>
              <w:t>Cloud Health solutions engineer reviews designs for integration compatibility.</w:t>
              <w:br/>
              <w:t>Required: Figma files or live URL + brand assets (logo, fonts, colors).</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UPSELL: Cloud Health Design Studio.</w:t>
              <w:br/>
              <w:t>Options: Template-based ($1,500–3,500 one-time) or Custom design ($5,000–15,000).</w:t>
              <w:br/>
              <w:t>Timeline adds 5–10 business days to go-live.</w:t>
            </w:r>
          </w:p>
          <w:p/>
          <w:p>
            <w:r>
              <w:rPr>
                <w:rFonts w:ascii="Arial" w:hAnsi="Arial"/>
                <w:i/>
                <w:color w:val="4A5A6A"/>
                <w:sz w:val="18"/>
              </w:rPr>
              <w:t>If client declines design service: use Cloud Health native frontend with brand color + logo customization (white-label default). Timeline unaffected.</w:t>
            </w:r>
          </w:p>
        </w:tc>
      </w:tr>
    </w:tbl>
    <w:p/>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existing hosting / a live domain?</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Integration path: Cloud Health embeds clinical modules (checkout, intake, patient portal) as iFrame or headless components into client's existing site.</w:t>
              <w:br/>
              <w:t>Required: Client provides DNS access or embed snippet deployment rights.</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Cloud Health hosts the full frontend on CloudHealth infrastructure.</w:t>
              <w:br/>
              <w:t>Client provides domain name — Cloud Health handles SSL, CDN, hosting.</w:t>
              <w:br/>
              <w:t>Designs from 2.2 above determine look and feel.</w:t>
            </w:r>
          </w:p>
          <w:p/>
          <w:p>
            <w:r>
              <w:rPr>
                <w:rFonts w:ascii="Arial" w:hAnsi="Arial"/>
                <w:i/>
                <w:color w:val="4A5A6A"/>
                <w:sz w:val="18"/>
              </w:rPr>
              <w:t>Hosting is included in all SaaS tiers. No additional fee unless custom domain configuration requires dedicated infrastructure.</w:t>
            </w:r>
          </w:p>
        </w:tc>
      </w:tr>
    </w:tbl>
    <w:p/>
    <w:tbl>
      <w:tblPr>
        <w:tblStyle w:val="TableGrid"/>
        <w:tblW w:type="auto" w:w="0"/>
        <w:tblLook w:firstColumn="1" w:firstRow="1" w:lastColumn="0" w:lastRow="0" w:noHBand="0" w:noVBand="1" w:val="04A0"/>
      </w:tblPr>
      <w:tblGrid>
        <w:gridCol w:w="9648"/>
      </w:tblGrid>
      <w:tr>
        <w:tc>
          <w:tcPr>
            <w:tcW w:type="dxa" w:w="9648"/>
            <w:shd w:val="clear" w:color="auto" w:fill="E8F7F6"/>
            <w:tcMar>
              <w:top w:w="120" w:type="dxa"/>
              <w:bottom w:w="120" w:type="dxa"/>
              <w:left w:w="160" w:type="dxa"/>
              <w:right w:w="160" w:type="dxa"/>
            </w:tcMar>
            <w:tcW w:w="9360" w:type="dxa"/>
          </w:tcPr>
          <w:p>
            <w:r>
              <w:rPr>
                <w:rFonts w:ascii="Arial" w:hAnsi="Arial"/>
                <w:color w:val="0A1F44"/>
                <w:sz w:val="22"/>
              </w:rPr>
              <w:t>📋  Integration Path Summary: The cleanest architecture is (A) client's designs + client's hosting with Cloud Health clinical modules embedded. Second best is (B) client's designs + Cloud Health hosting. If neither is available, Cloud Health native frontend is deployed within the standard 14-day SLA.</w:t>
            </w:r>
          </w:p>
        </w:tc>
      </w:tr>
    </w:tbl>
    <w:p/>
    <w:p>
      <w:pPr>
        <w:spacing w:before="120" w:after="120"/>
        <w:pBdr>
          <w:bottom w:val="single" w:sz="4" w:space="1" w:color="E2E8F0"/>
        </w:pBdr>
      </w:pPr>
    </w:p>
    <w:p>
      <w:pPr>
        <w:spacing w:before="280" w:after="80"/>
      </w:pPr>
      <w:r>
        <w:rPr>
          <w:rFonts w:ascii="Arial" w:hAnsi="Arial"/>
          <w:b/>
          <w:color w:val="0A1F44"/>
          <w:sz w:val="28"/>
        </w:rPr>
        <w:t>2.3  Intake Forms &amp; Quizzes</w:t>
      </w:r>
    </w:p>
    <w:p>
      <w:pPr>
        <w:spacing w:before="0" w:after="120"/>
        <w:jc w:val="left"/>
      </w:pPr>
      <w:r>
        <w:rPr>
          <w:rFonts w:ascii="Arial" w:hAnsi="Arial"/>
          <w:b w:val="0"/>
          <w:i w:val="0"/>
          <w:color w:val="4A5A6A"/>
          <w:sz w:val="22"/>
        </w:rPr>
        <w:t>Clinical intake forms are the gatekeeping mechanism between a patient and a prescription. Form design directly affects conversion rate, clinical safety, and regulatory compliance. All intake content is reviewed by Cloud Health's clinical team before activation.</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existing intake forms or quizzes?</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Audit existing forms for clinical completeness and regulatory compliance.</w:t>
              <w:br/>
              <w:t>Determine integration method (see below).</w:t>
              <w:br/>
              <w:t>Cloud Health clinical team may require additions for Rx eligibility screening.</w:t>
            </w:r>
          </w:p>
          <w:p/>
          <w:p>
            <w:r>
              <w:rPr>
                <w:rFonts w:ascii="Arial" w:hAnsi="Arial"/>
                <w:i/>
                <w:color w:val="4A5A6A"/>
                <w:sz w:val="18"/>
              </w:rPr>
              <w:t>Most clients with existing quizzes are coming from Typeform, Jotform, or a custom React build.</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Use native Cloud Health quiz builder.</w:t>
              <w:br/>
              <w:t>Cloud Health provides category-specific template intakes for GLP-1, ED, longevity, and hormone health.</w:t>
              <w:br/>
              <w:t>Customization is standard — client reviews and approves before activation.</w:t>
            </w:r>
          </w:p>
          <w:p/>
          <w:p>
            <w:r>
              <w:rPr>
                <w:rFonts w:ascii="Arial" w:hAnsi="Arial"/>
                <w:i/>
                <w:color w:val="4A5A6A"/>
                <w:sz w:val="18"/>
              </w:rPr>
              <w:t>Native quizzes are included in all SaaS tiers. No additional fee.</w:t>
            </w:r>
          </w:p>
        </w:tc>
      </w:tr>
    </w:tbl>
    <w:p/>
    <w:p>
      <w:pPr>
        <w:spacing w:before="200" w:after="60"/>
      </w:pPr>
      <w:r>
        <w:rPr>
          <w:rFonts w:ascii="Arial" w:hAnsi="Arial"/>
          <w:b/>
          <w:color w:val="00B5A3"/>
          <w:sz w:val="24"/>
        </w:rPr>
        <w:t>Intake Integration Options (if client has existing forms)</w:t>
      </w:r>
    </w:p>
    <w:p>
      <w:pPr>
        <w:pStyle w:val="ListBullet"/>
        <w:spacing w:before="20" w:after="40"/>
        <w:ind w:left="288"/>
      </w:pPr>
      <w:r>
        <w:rPr>
          <w:rFonts w:ascii="Arial" w:hAnsi="Arial"/>
          <w:b/>
          <w:color w:val="0A1F44"/>
          <w:sz w:val="22"/>
        </w:rPr>
        <w:t xml:space="preserve">Embeddables (Typeform / Jotform):  </w:t>
      </w:r>
      <w:r>
        <w:rPr>
          <w:rFonts w:ascii="Arial" w:hAnsi="Arial"/>
          <w:color w:val="4A5A6A"/>
          <w:sz w:val="22"/>
        </w:rPr>
        <w:t>Embed existing quiz tool within Cloud Health patient flow via iFrame. Data passed via webhook to Cloud Health intake API. Fastest path if existing tool is already built. Recommended for clients with tested conversion flows they don't want to rebuild. PSM to confirm webhook compatibility.</w:t>
      </w:r>
    </w:p>
    <w:p/>
    <w:p>
      <w:pPr>
        <w:pStyle w:val="ListBullet"/>
        <w:spacing w:before="20" w:after="40"/>
        <w:ind w:left="288"/>
      </w:pPr>
      <w:r>
        <w:rPr>
          <w:rFonts w:ascii="Arial" w:hAnsi="Arial"/>
          <w:b/>
          <w:color w:val="0A1F44"/>
          <w:sz w:val="22"/>
        </w:rPr>
        <w:t xml:space="preserve">Custom Integration (Upsell):  </w:t>
      </w:r>
      <w:r>
        <w:rPr>
          <w:rFonts w:ascii="Arial" w:hAnsi="Arial"/>
          <w:color w:val="4A5A6A"/>
          <w:sz w:val="22"/>
        </w:rPr>
        <w:t>Client's bespoke intake built outside standard tooling (custom React, Vue, etc.). Requires solutions engineering engagement. Custom integration fee: $2,500–8,000 depending on complexity. Timeline adds 5–10 business days. Best for clients with clinically complex or multi-branch intake logic.</w:t>
      </w:r>
    </w:p>
    <w:p/>
    <w:p>
      <w:pPr>
        <w:pStyle w:val="ListBullet"/>
        <w:spacing w:before="20" w:after="40"/>
        <w:ind w:left="288"/>
      </w:pPr>
      <w:r>
        <w:rPr>
          <w:rFonts w:ascii="Arial" w:hAnsi="Arial"/>
          <w:b/>
          <w:color w:val="0A1F44"/>
          <w:sz w:val="22"/>
        </w:rPr>
        <w:t xml:space="preserve">Native Cloud Health Quiz (Default):  </w:t>
      </w:r>
      <w:r>
        <w:rPr>
          <w:rFonts w:ascii="Arial" w:hAnsi="Arial"/>
          <w:color w:val="4A5A6A"/>
          <w:sz w:val="22"/>
        </w:rPr>
        <w:t>Cloud Health's built-in configurable quiz engine. Covers all standard clinical intake requirements by category. Drag-and-drop configuration by PSM. No additional fee. Includes conditional logic, photo upload, signature capture, and consent modules.</w:t>
      </w:r>
    </w:p>
    <w:p/>
    <w:p>
      <w:pPr>
        <w:spacing w:before="120" w:after="120"/>
        <w:pBdr>
          <w:bottom w:val="single" w:sz="4" w:space="1" w:color="E2E8F0"/>
        </w:pBdr>
      </w:pPr>
    </w:p>
    <w:p>
      <w:pPr>
        <w:spacing w:before="280" w:after="80"/>
      </w:pPr>
      <w:r>
        <w:rPr>
          <w:rFonts w:ascii="Arial" w:hAnsi="Arial"/>
          <w:b/>
          <w:color w:val="0A1F44"/>
          <w:sz w:val="28"/>
        </w:rPr>
        <w:t>2.4  Checkout &amp; Payment Provider</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an existing payment provider / merchant account?</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Collect processor name, gateway type, and API credentials.</w:t>
              <w:br/>
              <w:t>Cloud Health solutions engineer assesses integration complexity.</w:t>
              <w:br/>
              <w:t>Proceed to 'Fully Baked Integration' question below.</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Onboard client onto Cloud Health's Stripe master account.</w:t>
              <w:br/>
              <w:t>Cloud Health creates a Stripe Connect sub-account in the client's name.</w:t>
              <w:br/>
              <w:t>Revenue flows to client's Stripe sub-account. Payout schedule: T+2 standard.</w:t>
            </w:r>
          </w:p>
          <w:p/>
          <w:p>
            <w:r>
              <w:rPr>
                <w:rFonts w:ascii="Arial" w:hAnsi="Arial"/>
                <w:i/>
                <w:color w:val="4A5A6A"/>
                <w:sz w:val="18"/>
              </w:rPr>
              <w:t>Stripe sub-account setup is included in standard onboarding. Processing fees per Stripe standard rates (2.9% + 30¢). Cloud Health does not mark up Stripe fees.</w:t>
            </w:r>
          </w:p>
        </w:tc>
      </w:tr>
    </w:tbl>
    <w:p/>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a fully built checkout integration ready?</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UPSELL: Custom checkout integration.</w:t>
              <w:br/>
              <w:t>Solutions engineering reviews existing checkout architecture.</w:t>
              <w:br/>
              <w:t>Custom integration fee: $3,000–10,000 depending on payment provider and checkout complexity.</w:t>
              <w:br/>
              <w:t>Timeline: 5–15 additional business days.</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Default path: Cloud Health integrated checkout.</w:t>
              <w:br/>
              <w:t>One-page checkout with order summary, subscription management, and upsell capability.</w:t>
              <w:br/>
              <w:t>PCI DSS Level 1 compliant. Supports one-time and subscription billing.</w:t>
              <w:br/>
              <w:t>Included in all SaaS tiers at no additional fee.</w:t>
            </w:r>
          </w:p>
        </w:tc>
      </w:tr>
    </w:tbl>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0A1F44"/>
            <w:tcMar>
              <w:top w:w="80" w:type="dxa"/>
              <w:bottom w:w="80" w:type="dxa"/>
              <w:left w:w="120" w:type="dxa"/>
              <w:right w:w="120" w:type="dxa"/>
            </w:tcMar>
            <w:tcW w:w="2800" w:type="dxa"/>
          </w:tcPr>
          <w:p>
            <w:r>
              <w:rPr>
                <w:rFonts w:ascii="Arial" w:hAnsi="Arial"/>
                <w:b/>
                <w:color w:val="FFFFFF"/>
                <w:sz w:val="20"/>
              </w:rPr>
              <w:t>Payment Provider</w:t>
            </w:r>
          </w:p>
        </w:tc>
        <w:tc>
          <w:tcPr>
            <w:tcW w:type="dxa" w:w="4824"/>
            <w:shd w:val="clear" w:color="auto" w:fill="0A1F44"/>
            <w:tcMar>
              <w:top w:w="80" w:type="dxa"/>
              <w:bottom w:w="80" w:type="dxa"/>
              <w:left w:w="120" w:type="dxa"/>
              <w:right w:w="120" w:type="dxa"/>
            </w:tcMar>
            <w:tcW w:w="6560" w:type="dxa"/>
          </w:tcPr>
          <w:p>
            <w:r>
              <w:rPr>
                <w:rFonts w:ascii="Arial" w:hAnsi="Arial"/>
                <w:b/>
                <w:color w:val="FFFFFF"/>
                <w:sz w:val="20"/>
              </w:rPr>
              <w:t>Cloud Health Integration Status</w:t>
            </w:r>
          </w:p>
        </w:tc>
      </w:tr>
      <w:tr>
        <w:tc>
          <w:tcPr>
            <w:tcW w:type="dxa" w:w="4824"/>
            <w:shd w:val="clear" w:color="auto" w:fill="F4F6F8"/>
            <w:tcMar>
              <w:top w:w="80" w:type="dxa"/>
              <w:bottom w:w="80" w:type="dxa"/>
              <w:left w:w="120" w:type="dxa"/>
              <w:right w:w="120" w:type="dxa"/>
            </w:tcMar>
            <w:tcW w:w="2800" w:type="dxa"/>
          </w:tcPr>
          <w:p>
            <w:r>
              <w:rPr>
                <w:rFonts w:ascii="Arial" w:hAnsi="Arial"/>
                <w:color w:val="4A5A6A"/>
                <w:sz w:val="20"/>
              </w:rPr>
              <w:t>Stripe (via Cloud Health master)</w:t>
            </w:r>
          </w:p>
        </w:tc>
        <w:tc>
          <w:tcPr>
            <w:tcW w:type="dxa" w:w="4824"/>
            <w:shd w:val="clear" w:color="auto" w:fill="F4F6F8"/>
            <w:tcMar>
              <w:top w:w="80" w:type="dxa"/>
              <w:bottom w:w="80" w:type="dxa"/>
              <w:left w:w="120" w:type="dxa"/>
              <w:right w:w="120" w:type="dxa"/>
            </w:tcMar>
            <w:tcW w:w="6560" w:type="dxa"/>
          </w:tcPr>
          <w:p>
            <w:r>
              <w:rPr>
                <w:rFonts w:ascii="Arial" w:hAnsi="Arial"/>
                <w:color w:val="4A5A6A"/>
                <w:sz w:val="20"/>
              </w:rPr>
              <w:t>Default. Fastest to activate. Included in all plans. No setup fee.</w:t>
            </w:r>
          </w:p>
        </w:tc>
      </w:tr>
      <w:tr>
        <w:tc>
          <w:tcPr>
            <w:tcW w:type="dxa" w:w="4824"/>
            <w:shd w:val="clear" w:color="auto" w:fill="FFFFFF"/>
            <w:tcMar>
              <w:top w:w="80" w:type="dxa"/>
              <w:bottom w:w="80" w:type="dxa"/>
              <w:left w:w="120" w:type="dxa"/>
              <w:right w:w="120" w:type="dxa"/>
            </w:tcMar>
            <w:tcW w:w="2800" w:type="dxa"/>
          </w:tcPr>
          <w:p>
            <w:r>
              <w:rPr>
                <w:rFonts w:ascii="Arial" w:hAnsi="Arial"/>
                <w:color w:val="4A5A6A"/>
                <w:sz w:val="20"/>
              </w:rPr>
              <w:t>Stripe (client-owned account)</w:t>
            </w:r>
          </w:p>
        </w:tc>
        <w:tc>
          <w:tcPr>
            <w:tcW w:type="dxa" w:w="4824"/>
            <w:shd w:val="clear" w:color="auto" w:fill="FFFFFF"/>
            <w:tcMar>
              <w:top w:w="80" w:type="dxa"/>
              <w:bottom w:w="80" w:type="dxa"/>
              <w:left w:w="120" w:type="dxa"/>
              <w:right w:w="120" w:type="dxa"/>
            </w:tcMar>
            <w:tcW w:w="6560" w:type="dxa"/>
          </w:tcPr>
          <w:p>
            <w:r>
              <w:rPr>
                <w:rFonts w:ascii="Arial" w:hAnsi="Arial"/>
                <w:color w:val="4A5A6A"/>
                <w:sz w:val="20"/>
              </w:rPr>
              <w:t>Supported natively. Client provides publishable + secret keys. No additional fee.</w:t>
            </w:r>
          </w:p>
        </w:tc>
      </w:tr>
      <w:tr>
        <w:tc>
          <w:tcPr>
            <w:tcW w:type="dxa" w:w="4824"/>
            <w:shd w:val="clear" w:color="auto" w:fill="F4F6F8"/>
            <w:tcMar>
              <w:top w:w="80" w:type="dxa"/>
              <w:bottom w:w="80" w:type="dxa"/>
              <w:left w:w="120" w:type="dxa"/>
              <w:right w:w="120" w:type="dxa"/>
            </w:tcMar>
            <w:tcW w:w="2800" w:type="dxa"/>
          </w:tcPr>
          <w:p>
            <w:r>
              <w:rPr>
                <w:rFonts w:ascii="Arial" w:hAnsi="Arial"/>
                <w:color w:val="4A5A6A"/>
                <w:sz w:val="20"/>
              </w:rPr>
              <w:t>Braintree / PayPal</w:t>
            </w:r>
          </w:p>
        </w:tc>
        <w:tc>
          <w:tcPr>
            <w:tcW w:type="dxa" w:w="4824"/>
            <w:shd w:val="clear" w:color="auto" w:fill="F4F6F8"/>
            <w:tcMar>
              <w:top w:w="80" w:type="dxa"/>
              <w:bottom w:w="80" w:type="dxa"/>
              <w:left w:w="120" w:type="dxa"/>
              <w:right w:w="120" w:type="dxa"/>
            </w:tcMar>
            <w:tcW w:w="6560" w:type="dxa"/>
          </w:tcPr>
          <w:p>
            <w:r>
              <w:rPr>
                <w:rFonts w:ascii="Arial" w:hAnsi="Arial"/>
                <w:color w:val="4A5A6A"/>
                <w:sz w:val="20"/>
              </w:rPr>
              <w:t>Supported. Requires custom integration engagement. See custom integration fees above.</w:t>
            </w:r>
          </w:p>
        </w:tc>
      </w:tr>
      <w:tr>
        <w:tc>
          <w:tcPr>
            <w:tcW w:type="dxa" w:w="4824"/>
            <w:shd w:val="clear" w:color="auto" w:fill="FFFFFF"/>
            <w:tcMar>
              <w:top w:w="80" w:type="dxa"/>
              <w:bottom w:w="80" w:type="dxa"/>
              <w:left w:w="120" w:type="dxa"/>
              <w:right w:w="120" w:type="dxa"/>
            </w:tcMar>
            <w:tcW w:w="2800" w:type="dxa"/>
          </w:tcPr>
          <w:p>
            <w:r>
              <w:rPr>
                <w:rFonts w:ascii="Arial" w:hAnsi="Arial"/>
                <w:color w:val="4A5A6A"/>
                <w:sz w:val="20"/>
              </w:rPr>
              <w:t>NMI / Authorize.net</w:t>
            </w:r>
          </w:p>
        </w:tc>
        <w:tc>
          <w:tcPr>
            <w:tcW w:type="dxa" w:w="4824"/>
            <w:shd w:val="clear" w:color="auto" w:fill="FFFFFF"/>
            <w:tcMar>
              <w:top w:w="80" w:type="dxa"/>
              <w:bottom w:w="80" w:type="dxa"/>
              <w:left w:w="120" w:type="dxa"/>
              <w:right w:w="120" w:type="dxa"/>
            </w:tcMar>
            <w:tcW w:w="6560" w:type="dxa"/>
          </w:tcPr>
          <w:p>
            <w:r>
              <w:rPr>
                <w:rFonts w:ascii="Arial" w:hAnsi="Arial"/>
                <w:color w:val="4A5A6A"/>
                <w:sz w:val="20"/>
              </w:rPr>
              <w:t>Supported. Requires custom integration. Common for high-volume clients with existing merchant relationships.</w:t>
            </w:r>
          </w:p>
        </w:tc>
      </w:tr>
      <w:tr>
        <w:tc>
          <w:tcPr>
            <w:tcW w:type="dxa" w:w="4824"/>
            <w:shd w:val="clear" w:color="auto" w:fill="F4F6F8"/>
            <w:tcMar>
              <w:top w:w="80" w:type="dxa"/>
              <w:bottom w:w="80" w:type="dxa"/>
              <w:left w:w="120" w:type="dxa"/>
              <w:right w:w="120" w:type="dxa"/>
            </w:tcMar>
            <w:tcW w:w="2800" w:type="dxa"/>
          </w:tcPr>
          <w:p>
            <w:r>
              <w:rPr>
                <w:rFonts w:ascii="Arial" w:hAnsi="Arial"/>
                <w:color w:val="4A5A6A"/>
                <w:sz w:val="20"/>
              </w:rPr>
              <w:t>Square</w:t>
            </w:r>
          </w:p>
        </w:tc>
        <w:tc>
          <w:tcPr>
            <w:tcW w:type="dxa" w:w="4824"/>
            <w:shd w:val="clear" w:color="auto" w:fill="F4F6F8"/>
            <w:tcMar>
              <w:top w:w="80" w:type="dxa"/>
              <w:bottom w:w="80" w:type="dxa"/>
              <w:left w:w="120" w:type="dxa"/>
              <w:right w:w="120" w:type="dxa"/>
            </w:tcMar>
            <w:tcW w:w="6560" w:type="dxa"/>
          </w:tcPr>
          <w:p>
            <w:r>
              <w:rPr>
                <w:rFonts w:ascii="Arial" w:hAnsi="Arial"/>
                <w:color w:val="4A5A6A"/>
                <w:sz w:val="20"/>
              </w:rPr>
              <w:t>Limited support. Discuss with solutions engineer. May require custom build.</w:t>
            </w:r>
          </w:p>
        </w:tc>
      </w:tr>
      <w:tr>
        <w:tc>
          <w:tcPr>
            <w:tcW w:type="dxa" w:w="4824"/>
            <w:shd w:val="clear" w:color="auto" w:fill="FFFFFF"/>
            <w:tcMar>
              <w:top w:w="80" w:type="dxa"/>
              <w:bottom w:w="80" w:type="dxa"/>
              <w:left w:w="120" w:type="dxa"/>
              <w:right w:w="120" w:type="dxa"/>
            </w:tcMar>
            <w:tcW w:w="2800" w:type="dxa"/>
          </w:tcPr>
          <w:p>
            <w:r>
              <w:rPr>
                <w:rFonts w:ascii="Arial" w:hAnsi="Arial"/>
                <w:color w:val="4A5A6A"/>
                <w:sz w:val="20"/>
              </w:rPr>
              <w:t>Other processors</w:t>
            </w:r>
          </w:p>
        </w:tc>
        <w:tc>
          <w:tcPr>
            <w:tcW w:type="dxa" w:w="4824"/>
            <w:shd w:val="clear" w:color="auto" w:fill="FFFFFF"/>
            <w:tcMar>
              <w:top w:w="80" w:type="dxa"/>
              <w:bottom w:w="80" w:type="dxa"/>
              <w:left w:w="120" w:type="dxa"/>
              <w:right w:w="120" w:type="dxa"/>
            </w:tcMar>
            <w:tcW w:w="6560" w:type="dxa"/>
          </w:tcPr>
          <w:p>
            <w:r>
              <w:rPr>
                <w:rFonts w:ascii="Arial" w:hAnsi="Arial"/>
                <w:color w:val="4A5A6A"/>
                <w:sz w:val="20"/>
              </w:rPr>
              <w:t>Case-by-case. Flag to solutions engineer at kickoff. Add 5–10 days to assessment.</w:t>
            </w:r>
          </w:p>
        </w:tc>
      </w:tr>
    </w:tbl>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3 — Backend Requirements</w:t>
      </w:r>
    </w:p>
    <w:p>
      <w:pPr>
        <w:spacing w:before="0" w:after="120"/>
        <w:jc w:val="left"/>
      </w:pPr>
      <w:r>
        <w:rPr>
          <w:rFonts w:ascii="Arial" w:hAnsi="Arial"/>
          <w:b w:val="0"/>
          <w:i w:val="0"/>
          <w:color w:val="4A5A6A"/>
          <w:sz w:val="22"/>
        </w:rPr>
        <w:t>Backend configuration covers the clinical and operational infrastructure that powers every patient encounter. Doctor groups, pharmacies, medication lists, and pharmacy technician support must all be confirmed before the platform can process a single prescription.</w:t>
      </w:r>
    </w:p>
    <w:p>
      <w:pPr>
        <w:spacing w:before="280" w:after="80"/>
      </w:pPr>
      <w:r>
        <w:rPr>
          <w:rFonts w:ascii="Arial" w:hAnsi="Arial"/>
          <w:b/>
          <w:color w:val="0A1F44"/>
          <w:sz w:val="28"/>
        </w:rPr>
        <w:t>3.1  Doctor Group Assignment</w:t>
      </w:r>
    </w:p>
    <w:p>
      <w:pPr>
        <w:spacing w:before="0" w:after="120"/>
        <w:jc w:val="left"/>
      </w:pPr>
      <w:r>
        <w:rPr>
          <w:rFonts w:ascii="Arial" w:hAnsi="Arial"/>
          <w:b w:val="0"/>
          <w:i w:val="0"/>
          <w:color w:val="4A5A6A"/>
          <w:sz w:val="22"/>
        </w:rPr>
        <w:t>Every prescription written on the Cloud Health platform must be authorized by a licensed physician or NP/PA operating under appropriate state licensure and DEA registration. Determining the doctor group is the single most important backend decision.</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their own doctor group / provider organization?</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Collect full provider roster:</w:t>
              <w:br/>
              <w:t>• Full legal name + credentials</w:t>
              <w:br/>
              <w:t>• NPI number (individual + group)</w:t>
              <w:br/>
              <w:t>• State license numbers and expiration dates</w:t>
              <w:br/>
              <w:t>• DEA registration number(s)</w:t>
              <w:br/>
              <w:t>• Malpractice insurance certificate</w:t>
              <w:br/>
              <w:br/>
              <w:t>Cloud Health credentialing team verifies each provider (3–5 business days).</w:t>
              <w:br/>
              <w:t>Providers are onboarded to Cloud Health prescribing console.</w:t>
            </w:r>
          </w:p>
          <w:p/>
          <w:p>
            <w:r>
              <w:rPr>
                <w:rFonts w:ascii="Arial" w:hAnsi="Arial"/>
                <w:i/>
                <w:color w:val="4A5A6A"/>
                <w:sz w:val="18"/>
              </w:rPr>
              <w:t>Note: Providers must be licensed in every state where they will see patients. Cloud Health credentialing team will flag any coverage gaps.</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Propose Cloud Health's affiliated physician network.</w:t>
              <w:br/>
              <w:t>Two options based on projected volume (see below):</w:t>
            </w:r>
          </w:p>
          <w:p/>
          <w:p>
            <w:r>
              <w:rPr>
                <w:rFonts w:ascii="Arial" w:hAnsi="Arial"/>
                <w:i/>
                <w:color w:val="4A5A6A"/>
                <w:sz w:val="18"/>
              </w:rPr>
              <w:t>Client executes Business Associate Agreement (BAA) with selected physician group. Cloud Health handles routing and clinical oversight workflows.</w:t>
            </w:r>
          </w:p>
        </w:tc>
      </w:tr>
    </w:tbl>
    <w:p/>
    <w:p>
      <w:pPr>
        <w:spacing w:before="200" w:after="60"/>
      </w:pPr>
      <w:r>
        <w:rPr>
          <w:rFonts w:ascii="Arial" w:hAnsi="Arial"/>
          <w:b/>
          <w:color w:val="00B5A3"/>
          <w:sz w:val="24"/>
        </w:rPr>
        <w:t>Doctor Group Options (if client does not have their own)</w:t>
      </w:r>
    </w:p>
    <w:tbl>
      <w:tblPr>
        <w:tblStyle w:val="TableGrid"/>
        <w:tblW w:type="auto" w:w="0"/>
        <w:tblLook w:firstColumn="1" w:firstRow="1" w:lastColumn="0" w:lastRow="0" w:noHBand="0" w:noVBand="1" w:val="04A0"/>
      </w:tblPr>
      <w:tblGrid>
        <w:gridCol w:w="2412"/>
        <w:gridCol w:w="2412"/>
        <w:gridCol w:w="2412"/>
        <w:gridCol w:w="2412"/>
      </w:tblGrid>
      <w:tr>
        <w:tc>
          <w:tcPr>
            <w:tcW w:type="dxa" w:w="2412"/>
            <w:shd w:val="clear" w:color="auto" w:fill="0A1F44"/>
            <w:tcMar>
              <w:top w:w="80" w:type="dxa"/>
              <w:bottom w:w="80" w:type="dxa"/>
              <w:left w:w="120" w:type="dxa"/>
              <w:right w:w="120" w:type="dxa"/>
            </w:tcMar>
            <w:tcW w:w="1800" w:type="dxa"/>
          </w:tcPr>
          <w:p>
            <w:r>
              <w:rPr>
                <w:rFonts w:ascii="Arial" w:hAnsi="Arial"/>
                <w:b/>
                <w:color w:val="FFFFFF"/>
                <w:sz w:val="20"/>
              </w:rPr>
              <w:t>Group</w:t>
            </w:r>
          </w:p>
        </w:tc>
        <w:tc>
          <w:tcPr>
            <w:tcW w:type="dxa" w:w="2412"/>
            <w:shd w:val="clear" w:color="auto" w:fill="0A1F44"/>
            <w:tcMar>
              <w:top w:w="80" w:type="dxa"/>
              <w:bottom w:w="80" w:type="dxa"/>
              <w:left w:w="120" w:type="dxa"/>
              <w:right w:w="120" w:type="dxa"/>
            </w:tcMar>
            <w:tcW w:w="1800" w:type="dxa"/>
          </w:tcPr>
          <w:p>
            <w:r>
              <w:rPr>
                <w:rFonts w:ascii="Arial" w:hAnsi="Arial"/>
                <w:b/>
                <w:color w:val="FFFFFF"/>
                <w:sz w:val="20"/>
              </w:rPr>
              <w:t>Scale Threshold</w:t>
            </w:r>
          </w:p>
        </w:tc>
        <w:tc>
          <w:tcPr>
            <w:tcW w:type="dxa" w:w="2412"/>
            <w:shd w:val="clear" w:color="auto" w:fill="0A1F44"/>
            <w:tcMar>
              <w:top w:w="80" w:type="dxa"/>
              <w:bottom w:w="80" w:type="dxa"/>
              <w:left w:w="120" w:type="dxa"/>
              <w:right w:w="120" w:type="dxa"/>
            </w:tcMar>
            <w:tcW w:w="3800" w:type="dxa"/>
          </w:tcPr>
          <w:p>
            <w:r>
              <w:rPr>
                <w:rFonts w:ascii="Arial" w:hAnsi="Arial"/>
                <w:b/>
                <w:color w:val="FFFFFF"/>
                <w:sz w:val="20"/>
              </w:rPr>
              <w:t>Capabilities</w:t>
            </w:r>
          </w:p>
        </w:tc>
        <w:tc>
          <w:tcPr>
            <w:tcW w:type="dxa" w:w="2412"/>
            <w:shd w:val="clear" w:color="auto" w:fill="0A1F44"/>
            <w:tcMar>
              <w:top w:w="80" w:type="dxa"/>
              <w:bottom w:w="80" w:type="dxa"/>
              <w:left w:w="120" w:type="dxa"/>
              <w:right w:w="120" w:type="dxa"/>
            </w:tcMar>
            <w:tcW w:w="1960" w:type="dxa"/>
          </w:tcPr>
          <w:p>
            <w:r>
              <w:rPr>
                <w:rFonts w:ascii="Arial" w:hAnsi="Arial"/>
                <w:b/>
                <w:color w:val="FFFFFF"/>
                <w:sz w:val="20"/>
              </w:rPr>
              <w:t>Pricing</w:t>
            </w:r>
          </w:p>
        </w:tc>
      </w:tr>
      <w:tr>
        <w:tc>
          <w:tcPr>
            <w:tcW w:type="dxa" w:w="2412"/>
            <w:shd w:val="clear" w:color="auto" w:fill="F4F6F8"/>
            <w:tcMar>
              <w:top w:w="80" w:type="dxa"/>
              <w:bottom w:w="80" w:type="dxa"/>
              <w:left w:w="120" w:type="dxa"/>
              <w:right w:w="120" w:type="dxa"/>
            </w:tcMar>
            <w:tcW w:w="1800" w:type="dxa"/>
          </w:tcPr>
          <w:p>
            <w:r>
              <w:rPr>
                <w:rFonts w:ascii="Arial" w:hAnsi="Arial"/>
                <w:color w:val="4A5A6A"/>
                <w:sz w:val="20"/>
              </w:rPr>
              <w:t>Dermifi Physician Group</w:t>
            </w:r>
          </w:p>
        </w:tc>
        <w:tc>
          <w:tcPr>
            <w:tcW w:type="dxa" w:w="2412"/>
            <w:shd w:val="clear" w:color="auto" w:fill="F4F6F8"/>
            <w:tcMar>
              <w:top w:w="80" w:type="dxa"/>
              <w:bottom w:w="80" w:type="dxa"/>
              <w:left w:w="120" w:type="dxa"/>
              <w:right w:w="120" w:type="dxa"/>
            </w:tcMar>
            <w:tcW w:w="1800" w:type="dxa"/>
          </w:tcPr>
          <w:p>
            <w:r>
              <w:rPr>
                <w:rFonts w:ascii="Arial" w:hAnsi="Arial"/>
                <w:color w:val="4A5A6A"/>
                <w:sz w:val="20"/>
              </w:rPr>
              <w:t>Standard scale (&lt;500 Rx/month)</w:t>
            </w:r>
          </w:p>
        </w:tc>
        <w:tc>
          <w:tcPr>
            <w:tcW w:type="dxa" w:w="2412"/>
            <w:shd w:val="clear" w:color="auto" w:fill="F4F6F8"/>
            <w:tcMar>
              <w:top w:w="80" w:type="dxa"/>
              <w:bottom w:w="80" w:type="dxa"/>
              <w:left w:w="120" w:type="dxa"/>
              <w:right w:w="120" w:type="dxa"/>
            </w:tcMar>
            <w:tcW w:w="3800" w:type="dxa"/>
          </w:tcPr>
          <w:p>
            <w:r>
              <w:rPr>
                <w:rFonts w:ascii="Arial" w:hAnsi="Arial"/>
                <w:color w:val="4A5A6A"/>
                <w:sz w:val="20"/>
              </w:rPr>
              <w:t>Default recommendation. In-network with Cloud Health. Covers all 50 states. Fast onboarding (3–5 days). Specialties: GLP-1, ED, longevity, hormone health, dermatology.</w:t>
            </w:r>
          </w:p>
        </w:tc>
        <w:tc>
          <w:tcPr>
            <w:tcW w:type="dxa" w:w="2412"/>
            <w:shd w:val="clear" w:color="auto" w:fill="F4F6F8"/>
            <w:tcMar>
              <w:top w:w="80" w:type="dxa"/>
              <w:bottom w:w="80" w:type="dxa"/>
              <w:left w:w="120" w:type="dxa"/>
              <w:right w:w="120" w:type="dxa"/>
            </w:tcMar>
            <w:tcW w:w="1960" w:type="dxa"/>
          </w:tcPr>
          <w:p>
            <w:r>
              <w:rPr>
                <w:rFonts w:ascii="Arial" w:hAnsi="Arial"/>
                <w:color w:val="4A5A6A"/>
                <w:sz w:val="20"/>
              </w:rPr>
              <w:t>Included in standard SaaS plans</w:t>
            </w:r>
          </w:p>
        </w:tc>
      </w:tr>
      <w:tr>
        <w:tc>
          <w:tcPr>
            <w:tcW w:type="dxa" w:w="2412"/>
            <w:shd w:val="clear" w:color="auto" w:fill="FFFFFF"/>
            <w:tcMar>
              <w:top w:w="80" w:type="dxa"/>
              <w:bottom w:w="80" w:type="dxa"/>
              <w:left w:w="120" w:type="dxa"/>
              <w:right w:w="120" w:type="dxa"/>
            </w:tcMar>
            <w:tcW w:w="1800" w:type="dxa"/>
          </w:tcPr>
          <w:p>
            <w:r>
              <w:rPr>
                <w:rFonts w:ascii="Arial" w:hAnsi="Arial"/>
                <w:color w:val="4A5A6A"/>
                <w:sz w:val="20"/>
              </w:rPr>
              <w:t>MDI / Network Partners</w:t>
            </w:r>
          </w:p>
        </w:tc>
        <w:tc>
          <w:tcPr>
            <w:tcW w:type="dxa" w:w="2412"/>
            <w:shd w:val="clear" w:color="auto" w:fill="FFFFFF"/>
            <w:tcMar>
              <w:top w:w="80" w:type="dxa"/>
              <w:bottom w:w="80" w:type="dxa"/>
              <w:left w:w="120" w:type="dxa"/>
              <w:right w:w="120" w:type="dxa"/>
            </w:tcMar>
            <w:tcW w:w="1800" w:type="dxa"/>
          </w:tcPr>
          <w:p>
            <w:r>
              <w:rPr>
                <w:rFonts w:ascii="Arial" w:hAnsi="Arial"/>
                <w:color w:val="4A5A6A"/>
                <w:sz w:val="20"/>
              </w:rPr>
              <w:t>High scale (&gt;500 Rx/month)</w:t>
            </w:r>
          </w:p>
        </w:tc>
        <w:tc>
          <w:tcPr>
            <w:tcW w:type="dxa" w:w="2412"/>
            <w:shd w:val="clear" w:color="auto" w:fill="FFFFFF"/>
            <w:tcMar>
              <w:top w:w="80" w:type="dxa"/>
              <w:bottom w:w="80" w:type="dxa"/>
              <w:left w:w="120" w:type="dxa"/>
              <w:right w:w="120" w:type="dxa"/>
            </w:tcMar>
            <w:tcW w:w="3800" w:type="dxa"/>
          </w:tcPr>
          <w:p>
            <w:r>
              <w:rPr>
                <w:rFonts w:ascii="Arial" w:hAnsi="Arial"/>
                <w:color w:val="4A5A6A"/>
                <w:sz w:val="20"/>
              </w:rPr>
              <w:t>MDI and select network partners provide high-volume Rx fulfillment capacity. Dedicated physician assignment available. SLA: 2-hour Rx review turnaround during business hours.</w:t>
            </w:r>
          </w:p>
        </w:tc>
        <w:tc>
          <w:tcPr>
            <w:tcW w:type="dxa" w:w="2412"/>
            <w:shd w:val="clear" w:color="auto" w:fill="FFFFFF"/>
            <w:tcMar>
              <w:top w:w="80" w:type="dxa"/>
              <w:bottom w:w="80" w:type="dxa"/>
              <w:left w:w="120" w:type="dxa"/>
              <w:right w:w="120" w:type="dxa"/>
            </w:tcMar>
            <w:tcW w:w="1960" w:type="dxa"/>
          </w:tcPr>
          <w:p>
            <w:r>
              <w:rPr>
                <w:rFonts w:ascii="Arial" w:hAnsi="Arial"/>
                <w:color w:val="4A5A6A"/>
                <w:sz w:val="20"/>
              </w:rPr>
              <w:t>Volume-based pricing — discuss with PSM</w:t>
            </w:r>
          </w:p>
        </w:tc>
      </w:tr>
    </w:tbl>
    <w:p/>
    <w:p>
      <w:pPr>
        <w:spacing w:before="120" w:after="120"/>
        <w:pBdr>
          <w:bottom w:val="single" w:sz="4" w:space="1" w:color="E2E8F0"/>
        </w:pBdr>
      </w:pPr>
    </w:p>
    <w:p>
      <w:pPr>
        <w:spacing w:before="280" w:after="80"/>
      </w:pPr>
      <w:r>
        <w:rPr>
          <w:rFonts w:ascii="Arial" w:hAnsi="Arial"/>
          <w:b/>
          <w:color w:val="0A1F44"/>
          <w:sz w:val="28"/>
        </w:rPr>
        <w:t>3.2  Pharmacy Integration</w:t>
      </w:r>
    </w:p>
    <w:p>
      <w:pPr>
        <w:spacing w:before="0" w:after="120"/>
        <w:jc w:val="left"/>
      </w:pPr>
      <w:r>
        <w:rPr>
          <w:rFonts w:ascii="Arial" w:hAnsi="Arial"/>
          <w:b w:val="0"/>
          <w:i w:val="0"/>
          <w:color w:val="4A5A6A"/>
          <w:sz w:val="22"/>
        </w:rPr>
        <w:t>Cloud Health maintains active integrations with four compounding pharmacy partners. Formulary coverage, turnaround SLA, and geographic reach vary by partner. Most clients use one primary pharmacy with one backup.</w:t>
      </w:r>
    </w:p>
    <w:p>
      <w:pPr>
        <w:spacing w:before="200" w:after="60"/>
      </w:pPr>
      <w:r>
        <w:rPr>
          <w:rFonts w:ascii="Arial" w:hAnsi="Arial"/>
          <w:b/>
          <w:color w:val="00B5A3"/>
          <w:sz w:val="24"/>
        </w:rPr>
        <w:t>Pre-Integrated Pharmacy Partners</w:t>
      </w:r>
    </w:p>
    <w:tbl>
      <w:tblPr>
        <w:tblStyle w:val="TableGrid"/>
        <w:tblW w:type="auto" w:w="0"/>
        <w:jc w:val="left"/>
        <w:tblLook w:firstColumn="1" w:firstRow="1" w:lastColumn="0" w:lastRow="0" w:noHBand="0" w:noVBand="1" w:val="04A0"/>
      </w:tblPr>
      <w:tblGrid>
        <w:gridCol w:w="1930"/>
        <w:gridCol w:w="1930"/>
        <w:gridCol w:w="1930"/>
        <w:gridCol w:w="1930"/>
        <w:gridCol w:w="1930"/>
      </w:tblGrid>
      <w:tr>
        <w:tc>
          <w:tcPr>
            <w:tcW w:type="dxa" w:w="1930"/>
            <w:shd w:val="clear" w:color="auto" w:fill="0A1F44"/>
            <w:tcMar>
              <w:top w:w="80" w:type="dxa"/>
              <w:bottom w:w="80" w:type="dxa"/>
              <w:left w:w="120" w:type="dxa"/>
              <w:right w:w="120" w:type="dxa"/>
            </w:tcMar>
            <w:tcW w:w="1800" w:type="dxa"/>
          </w:tcPr>
          <w:p>
            <w:r>
              <w:rPr>
                <w:rFonts w:ascii="Arial" w:hAnsi="Arial"/>
                <w:b/>
                <w:color w:val="FFFFFF"/>
                <w:sz w:val="20"/>
              </w:rPr>
              <w:t>Pharmacy</w:t>
            </w:r>
          </w:p>
        </w:tc>
        <w:tc>
          <w:tcPr>
            <w:tcW w:type="dxa" w:w="1930"/>
            <w:shd w:val="clear" w:color="auto" w:fill="0A1F44"/>
            <w:tcMar>
              <w:top w:w="80" w:type="dxa"/>
              <w:bottom w:w="80" w:type="dxa"/>
              <w:left w:w="120" w:type="dxa"/>
              <w:right w:w="120" w:type="dxa"/>
            </w:tcMar>
            <w:tcW w:w="2800" w:type="dxa"/>
          </w:tcPr>
          <w:p>
            <w:r>
              <w:rPr>
                <w:rFonts w:ascii="Arial" w:hAnsi="Arial"/>
                <w:b/>
                <w:color w:val="FFFFFF"/>
                <w:sz w:val="20"/>
              </w:rPr>
              <w:t>Formulary Strengths</w:t>
            </w:r>
          </w:p>
        </w:tc>
        <w:tc>
          <w:tcPr>
            <w:tcW w:type="dxa" w:w="1930"/>
            <w:shd w:val="clear" w:color="auto" w:fill="0A1F44"/>
            <w:tcMar>
              <w:top w:w="80" w:type="dxa"/>
              <w:bottom w:w="80" w:type="dxa"/>
              <w:left w:w="120" w:type="dxa"/>
              <w:right w:w="120" w:type="dxa"/>
            </w:tcMar>
            <w:tcW w:w="1600" w:type="dxa"/>
          </w:tcPr>
          <w:p>
            <w:r>
              <w:rPr>
                <w:rFonts w:ascii="Arial" w:hAnsi="Arial"/>
                <w:b/>
                <w:color w:val="FFFFFF"/>
                <w:sz w:val="20"/>
              </w:rPr>
              <w:t>Turnaround SLA</w:t>
            </w:r>
          </w:p>
        </w:tc>
        <w:tc>
          <w:tcPr>
            <w:tcW w:type="dxa" w:w="1930"/>
            <w:shd w:val="clear" w:color="auto" w:fill="0A1F44"/>
            <w:tcMar>
              <w:top w:w="80" w:type="dxa"/>
              <w:bottom w:w="80" w:type="dxa"/>
              <w:left w:w="120" w:type="dxa"/>
              <w:right w:w="120" w:type="dxa"/>
            </w:tcMar>
            <w:tcW w:w="1400" w:type="dxa"/>
          </w:tcPr>
          <w:p>
            <w:r>
              <w:rPr>
                <w:rFonts w:ascii="Arial" w:hAnsi="Arial"/>
                <w:b/>
                <w:color w:val="FFFFFF"/>
                <w:sz w:val="20"/>
              </w:rPr>
              <w:t>Coverage</w:t>
            </w:r>
          </w:p>
        </w:tc>
        <w:tc>
          <w:tcPr>
            <w:tcW w:type="dxa" w:w="1930"/>
            <w:shd w:val="clear" w:color="auto" w:fill="0A1F44"/>
            <w:tcMar>
              <w:top w:w="80" w:type="dxa"/>
              <w:bottom w:w="80" w:type="dxa"/>
              <w:left w:w="120" w:type="dxa"/>
              <w:right w:w="120" w:type="dxa"/>
            </w:tcMar>
            <w:tcW w:w="1760" w:type="dxa"/>
          </w:tcPr>
          <w:p>
            <w:r>
              <w:rPr>
                <w:rFonts w:ascii="Arial" w:hAnsi="Arial"/>
                <w:b/>
                <w:color w:val="FFFFFF"/>
                <w:sz w:val="20"/>
              </w:rPr>
              <w:t>Status</w:t>
            </w:r>
          </w:p>
        </w:tc>
      </w:tr>
      <w:tr>
        <w:tc>
          <w:tcPr>
            <w:tcW w:type="dxa" w:w="1930"/>
            <w:shd w:val="clear" w:color="auto" w:fill="F4F6F8"/>
            <w:tcMar>
              <w:top w:w="80" w:type="dxa"/>
              <w:bottom w:w="80" w:type="dxa"/>
              <w:left w:w="120" w:type="dxa"/>
              <w:right w:w="120" w:type="dxa"/>
            </w:tcMar>
            <w:tcW w:w="1800" w:type="dxa"/>
          </w:tcPr>
          <w:p>
            <w:r>
              <w:rPr>
                <w:rFonts w:ascii="Arial" w:hAnsi="Arial"/>
                <w:color w:val="4A5A6A"/>
                <w:sz w:val="20"/>
              </w:rPr>
              <w:t>Promise / Perfect RX</w:t>
            </w:r>
          </w:p>
        </w:tc>
        <w:tc>
          <w:tcPr>
            <w:tcW w:type="dxa" w:w="1930"/>
            <w:shd w:val="clear" w:color="auto" w:fill="F4F6F8"/>
            <w:tcMar>
              <w:top w:w="80" w:type="dxa"/>
              <w:bottom w:w="80" w:type="dxa"/>
              <w:left w:w="120" w:type="dxa"/>
              <w:right w:w="120" w:type="dxa"/>
            </w:tcMar>
            <w:tcW w:w="2800" w:type="dxa"/>
          </w:tcPr>
          <w:p>
            <w:r>
              <w:rPr>
                <w:rFonts w:ascii="Arial" w:hAnsi="Arial"/>
                <w:color w:val="4A5A6A"/>
                <w:sz w:val="20"/>
              </w:rPr>
              <w:t>GLP-1 (semaglutide, tirzepatide), ED (sildenafil, tadalafil), HRT</w:t>
            </w:r>
          </w:p>
        </w:tc>
        <w:tc>
          <w:tcPr>
            <w:tcW w:type="dxa" w:w="1930"/>
            <w:shd w:val="clear" w:color="auto" w:fill="F4F6F8"/>
            <w:tcMar>
              <w:top w:w="80" w:type="dxa"/>
              <w:bottom w:w="80" w:type="dxa"/>
              <w:left w:w="120" w:type="dxa"/>
              <w:right w:w="120" w:type="dxa"/>
            </w:tcMar>
            <w:tcW w:w="1600" w:type="dxa"/>
          </w:tcPr>
          <w:p>
            <w:r>
              <w:rPr>
                <w:rFonts w:ascii="Arial" w:hAnsi="Arial"/>
                <w:color w:val="4A5A6A"/>
                <w:sz w:val="20"/>
              </w:rPr>
              <w:t>48-hour compound + ship</w:t>
            </w:r>
          </w:p>
        </w:tc>
        <w:tc>
          <w:tcPr>
            <w:tcW w:type="dxa" w:w="1930"/>
            <w:shd w:val="clear" w:color="auto" w:fill="F4F6F8"/>
            <w:tcMar>
              <w:top w:w="80" w:type="dxa"/>
              <w:bottom w:w="80" w:type="dxa"/>
              <w:left w:w="120" w:type="dxa"/>
              <w:right w:w="120" w:type="dxa"/>
            </w:tcMar>
            <w:tcW w:w="1400" w:type="dxa"/>
          </w:tcPr>
          <w:p>
            <w:r>
              <w:rPr>
                <w:rFonts w:ascii="Arial" w:hAnsi="Arial"/>
                <w:color w:val="4A5A6A"/>
                <w:sz w:val="20"/>
              </w:rPr>
              <w:t>Full 50-state</w:t>
            </w:r>
          </w:p>
        </w:tc>
        <w:tc>
          <w:tcPr>
            <w:tcW w:type="dxa" w:w="1930"/>
            <w:shd w:val="clear" w:color="auto" w:fill="F4F6F8"/>
            <w:tcMar>
              <w:top w:w="80" w:type="dxa"/>
              <w:bottom w:w="80" w:type="dxa"/>
              <w:left w:w="120" w:type="dxa"/>
              <w:right w:w="120" w:type="dxa"/>
            </w:tcMar>
            <w:tcW w:w="1760" w:type="dxa"/>
          </w:tcPr>
          <w:p>
            <w:r>
              <w:rPr>
                <w:rFonts w:ascii="Arial" w:hAnsi="Arial"/>
                <w:color w:val="4A5A6A"/>
                <w:sz w:val="20"/>
              </w:rPr>
              <w:t>Active — Standard integration</w:t>
            </w:r>
          </w:p>
        </w:tc>
      </w:tr>
      <w:tr>
        <w:tc>
          <w:tcPr>
            <w:tcW w:type="dxa" w:w="1930"/>
            <w:shd w:val="clear" w:color="auto" w:fill="FFFFFF"/>
            <w:tcMar>
              <w:top w:w="80" w:type="dxa"/>
              <w:bottom w:w="80" w:type="dxa"/>
              <w:left w:w="120" w:type="dxa"/>
              <w:right w:w="120" w:type="dxa"/>
            </w:tcMar>
            <w:tcW w:w="1800" w:type="dxa"/>
          </w:tcPr>
          <w:p>
            <w:r>
              <w:rPr>
                <w:rFonts w:ascii="Arial" w:hAnsi="Arial"/>
                <w:color w:val="4A5A6A"/>
                <w:sz w:val="20"/>
              </w:rPr>
              <w:t>Foothills Pharmacy</w:t>
            </w:r>
          </w:p>
        </w:tc>
        <w:tc>
          <w:tcPr>
            <w:tcW w:type="dxa" w:w="1930"/>
            <w:shd w:val="clear" w:color="auto" w:fill="FFFFFF"/>
            <w:tcMar>
              <w:top w:w="80" w:type="dxa"/>
              <w:bottom w:w="80" w:type="dxa"/>
              <w:left w:w="120" w:type="dxa"/>
              <w:right w:w="120" w:type="dxa"/>
            </w:tcMar>
            <w:tcW w:w="2800" w:type="dxa"/>
          </w:tcPr>
          <w:p>
            <w:r>
              <w:rPr>
                <w:rFonts w:ascii="Arial" w:hAnsi="Arial"/>
                <w:color w:val="4A5A6A"/>
                <w:sz w:val="20"/>
              </w:rPr>
              <w:t>GLP-1, peptides (BPC-157, sermorelin, TB-500), NAD+ oral</w:t>
            </w:r>
          </w:p>
        </w:tc>
        <w:tc>
          <w:tcPr>
            <w:tcW w:type="dxa" w:w="1930"/>
            <w:shd w:val="clear" w:color="auto" w:fill="FFFFFF"/>
            <w:tcMar>
              <w:top w:w="80" w:type="dxa"/>
              <w:bottom w:w="80" w:type="dxa"/>
              <w:left w:w="120" w:type="dxa"/>
              <w:right w:w="120" w:type="dxa"/>
            </w:tcMar>
            <w:tcW w:w="1600" w:type="dxa"/>
          </w:tcPr>
          <w:p>
            <w:r>
              <w:rPr>
                <w:rFonts w:ascii="Arial" w:hAnsi="Arial"/>
                <w:color w:val="4A5A6A"/>
                <w:sz w:val="20"/>
              </w:rPr>
              <w:t>48–72 hours</w:t>
            </w:r>
          </w:p>
        </w:tc>
        <w:tc>
          <w:tcPr>
            <w:tcW w:type="dxa" w:w="1930"/>
            <w:shd w:val="clear" w:color="auto" w:fill="FFFFFF"/>
            <w:tcMar>
              <w:top w:w="80" w:type="dxa"/>
              <w:bottom w:w="80" w:type="dxa"/>
              <w:left w:w="120" w:type="dxa"/>
              <w:right w:w="120" w:type="dxa"/>
            </w:tcMar>
            <w:tcW w:w="1400" w:type="dxa"/>
          </w:tcPr>
          <w:p>
            <w:r>
              <w:rPr>
                <w:rFonts w:ascii="Arial" w:hAnsi="Arial"/>
                <w:color w:val="4A5A6A"/>
                <w:sz w:val="20"/>
              </w:rPr>
              <w:t>48 states</w:t>
            </w:r>
          </w:p>
        </w:tc>
        <w:tc>
          <w:tcPr>
            <w:tcW w:type="dxa" w:w="1930"/>
            <w:shd w:val="clear" w:color="auto" w:fill="FFFFFF"/>
            <w:tcMar>
              <w:top w:w="80" w:type="dxa"/>
              <w:bottom w:w="80" w:type="dxa"/>
              <w:left w:w="120" w:type="dxa"/>
              <w:right w:w="120" w:type="dxa"/>
            </w:tcMar>
            <w:tcW w:w="1760" w:type="dxa"/>
          </w:tcPr>
          <w:p>
            <w:r>
              <w:rPr>
                <w:rFonts w:ascii="Arial" w:hAnsi="Arial"/>
                <w:color w:val="4A5A6A"/>
                <w:sz w:val="20"/>
              </w:rPr>
              <w:t>Active — Standard integration</w:t>
            </w:r>
          </w:p>
        </w:tc>
      </w:tr>
      <w:tr>
        <w:tc>
          <w:tcPr>
            <w:tcW w:type="dxa" w:w="1930"/>
            <w:shd w:val="clear" w:color="auto" w:fill="F4F6F8"/>
            <w:tcMar>
              <w:top w:w="80" w:type="dxa"/>
              <w:bottom w:w="80" w:type="dxa"/>
              <w:left w:w="120" w:type="dxa"/>
              <w:right w:w="120" w:type="dxa"/>
            </w:tcMar>
            <w:tcW w:w="1800" w:type="dxa"/>
          </w:tcPr>
          <w:p>
            <w:r>
              <w:rPr>
                <w:rFonts w:ascii="Arial" w:hAnsi="Arial"/>
                <w:color w:val="4A5A6A"/>
                <w:sz w:val="20"/>
              </w:rPr>
              <w:t>Smartscripts</w:t>
            </w:r>
          </w:p>
        </w:tc>
        <w:tc>
          <w:tcPr>
            <w:tcW w:type="dxa" w:w="1930"/>
            <w:shd w:val="clear" w:color="auto" w:fill="F4F6F8"/>
            <w:tcMar>
              <w:top w:w="80" w:type="dxa"/>
              <w:bottom w:w="80" w:type="dxa"/>
              <w:left w:w="120" w:type="dxa"/>
              <w:right w:w="120" w:type="dxa"/>
            </w:tcMar>
            <w:tcW w:w="2800" w:type="dxa"/>
          </w:tcPr>
          <w:p>
            <w:r>
              <w:rPr>
                <w:rFonts w:ascii="Arial" w:hAnsi="Arial"/>
                <w:color w:val="4A5A6A"/>
                <w:sz w:val="20"/>
              </w:rPr>
              <w:t>ED, testosterone, men's health, women's hormone, HRT</w:t>
            </w:r>
          </w:p>
        </w:tc>
        <w:tc>
          <w:tcPr>
            <w:tcW w:type="dxa" w:w="1930"/>
            <w:shd w:val="clear" w:color="auto" w:fill="F4F6F8"/>
            <w:tcMar>
              <w:top w:w="80" w:type="dxa"/>
              <w:bottom w:w="80" w:type="dxa"/>
              <w:left w:w="120" w:type="dxa"/>
              <w:right w:w="120" w:type="dxa"/>
            </w:tcMar>
            <w:tcW w:w="1600" w:type="dxa"/>
          </w:tcPr>
          <w:p>
            <w:r>
              <w:rPr>
                <w:rFonts w:ascii="Arial" w:hAnsi="Arial"/>
                <w:color w:val="4A5A6A"/>
                <w:sz w:val="20"/>
              </w:rPr>
              <w:t>24–48 hours</w:t>
            </w:r>
          </w:p>
        </w:tc>
        <w:tc>
          <w:tcPr>
            <w:tcW w:type="dxa" w:w="1930"/>
            <w:shd w:val="clear" w:color="auto" w:fill="F4F6F8"/>
            <w:tcMar>
              <w:top w:w="80" w:type="dxa"/>
              <w:bottom w:w="80" w:type="dxa"/>
              <w:left w:w="120" w:type="dxa"/>
              <w:right w:w="120" w:type="dxa"/>
            </w:tcMar>
            <w:tcW w:w="1400" w:type="dxa"/>
          </w:tcPr>
          <w:p>
            <w:r>
              <w:rPr>
                <w:rFonts w:ascii="Arial" w:hAnsi="Arial"/>
                <w:color w:val="4A5A6A"/>
                <w:sz w:val="20"/>
              </w:rPr>
              <w:t>Full 50-state</w:t>
            </w:r>
          </w:p>
        </w:tc>
        <w:tc>
          <w:tcPr>
            <w:tcW w:type="dxa" w:w="1930"/>
            <w:shd w:val="clear" w:color="auto" w:fill="F4F6F8"/>
            <w:tcMar>
              <w:top w:w="80" w:type="dxa"/>
              <w:bottom w:w="80" w:type="dxa"/>
              <w:left w:w="120" w:type="dxa"/>
              <w:right w:w="120" w:type="dxa"/>
            </w:tcMar>
            <w:tcW w:w="1760" w:type="dxa"/>
          </w:tcPr>
          <w:p>
            <w:r>
              <w:rPr>
                <w:rFonts w:ascii="Arial" w:hAnsi="Arial"/>
                <w:color w:val="4A5A6A"/>
                <w:sz w:val="20"/>
              </w:rPr>
              <w:t>Active — Standard integration</w:t>
            </w:r>
          </w:p>
        </w:tc>
      </w:tr>
      <w:tr>
        <w:tc>
          <w:tcPr>
            <w:tcW w:type="dxa" w:w="1930"/>
            <w:shd w:val="clear" w:color="auto" w:fill="FFFFFF"/>
            <w:tcMar>
              <w:top w:w="80" w:type="dxa"/>
              <w:bottom w:w="80" w:type="dxa"/>
              <w:left w:w="120" w:type="dxa"/>
              <w:right w:w="120" w:type="dxa"/>
            </w:tcMar>
            <w:tcW w:w="1800" w:type="dxa"/>
          </w:tcPr>
          <w:p>
            <w:r>
              <w:rPr>
                <w:rFonts w:ascii="Arial" w:hAnsi="Arial"/>
                <w:color w:val="4A5A6A"/>
                <w:sz w:val="20"/>
              </w:rPr>
              <w:t>Southend Pharmacy</w:t>
            </w:r>
          </w:p>
        </w:tc>
        <w:tc>
          <w:tcPr>
            <w:tcW w:type="dxa" w:w="1930"/>
            <w:shd w:val="clear" w:color="auto" w:fill="FFFFFF"/>
            <w:tcMar>
              <w:top w:w="80" w:type="dxa"/>
              <w:bottom w:w="80" w:type="dxa"/>
              <w:left w:w="120" w:type="dxa"/>
              <w:right w:w="120" w:type="dxa"/>
            </w:tcMar>
            <w:tcW w:w="2800" w:type="dxa"/>
          </w:tcPr>
          <w:p>
            <w:r>
              <w:rPr>
                <w:rFonts w:ascii="Arial" w:hAnsi="Arial"/>
                <w:color w:val="4A5A6A"/>
                <w:sz w:val="20"/>
              </w:rPr>
              <w:t>GLP-1, ED, longevity, dermatology Rx, skincare compounding</w:t>
            </w:r>
          </w:p>
        </w:tc>
        <w:tc>
          <w:tcPr>
            <w:tcW w:type="dxa" w:w="1930"/>
            <w:shd w:val="clear" w:color="auto" w:fill="FFFFFF"/>
            <w:tcMar>
              <w:top w:w="80" w:type="dxa"/>
              <w:bottom w:w="80" w:type="dxa"/>
              <w:left w:w="120" w:type="dxa"/>
              <w:right w:w="120" w:type="dxa"/>
            </w:tcMar>
            <w:tcW w:w="1600" w:type="dxa"/>
          </w:tcPr>
          <w:p>
            <w:r>
              <w:rPr>
                <w:rFonts w:ascii="Arial" w:hAnsi="Arial"/>
                <w:color w:val="4A5A6A"/>
                <w:sz w:val="20"/>
              </w:rPr>
              <w:t>48–72 hours</w:t>
            </w:r>
          </w:p>
        </w:tc>
        <w:tc>
          <w:tcPr>
            <w:tcW w:type="dxa" w:w="1930"/>
            <w:shd w:val="clear" w:color="auto" w:fill="FFFFFF"/>
            <w:tcMar>
              <w:top w:w="80" w:type="dxa"/>
              <w:bottom w:w="80" w:type="dxa"/>
              <w:left w:w="120" w:type="dxa"/>
              <w:right w:w="120" w:type="dxa"/>
            </w:tcMar>
            <w:tcW w:w="1400" w:type="dxa"/>
          </w:tcPr>
          <w:p>
            <w:r>
              <w:rPr>
                <w:rFonts w:ascii="Arial" w:hAnsi="Arial"/>
                <w:color w:val="4A5A6A"/>
                <w:sz w:val="20"/>
              </w:rPr>
              <w:t>42 states</w:t>
            </w:r>
          </w:p>
        </w:tc>
        <w:tc>
          <w:tcPr>
            <w:tcW w:type="dxa" w:w="1930"/>
            <w:shd w:val="clear" w:color="auto" w:fill="FFFFFF"/>
            <w:tcMar>
              <w:top w:w="80" w:type="dxa"/>
              <w:bottom w:w="80" w:type="dxa"/>
              <w:left w:w="120" w:type="dxa"/>
              <w:right w:w="120" w:type="dxa"/>
            </w:tcMar>
            <w:tcW w:w="1760" w:type="dxa"/>
          </w:tcPr>
          <w:p>
            <w:r>
              <w:rPr>
                <w:rFonts w:ascii="Arial" w:hAnsi="Arial"/>
                <w:color w:val="4A5A6A"/>
                <w:sz w:val="20"/>
              </w:rPr>
              <w:t>Active — Standard integration</w:t>
            </w:r>
          </w:p>
        </w:tc>
      </w:tr>
    </w:tbl>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their own pharmacy / existing pharmacy relationship?</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Custom pharmacy integration required.</w:t>
              <w:br/>
              <w:t>Collect pharmacy's technical documentation:</w:t>
              <w:br/>
              <w:t>• API specs or HL7/FHIR feed details</w:t>
              <w:br/>
              <w:t>• Formulary list and NDC codes</w:t>
              <w:br/>
              <w:t>• Order submission and status webhook requirements</w:t>
              <w:br/>
              <w:br/>
              <w:t>Assess integration complexity with solutions engineer.</w:t>
            </w:r>
          </w:p>
          <w:p/>
          <w:p>
            <w:r>
              <w:rPr>
                <w:rFonts w:ascii="Arial" w:hAnsi="Arial"/>
                <w:i/>
                <w:color w:val="4A5A6A"/>
                <w:sz w:val="18"/>
              </w:rPr>
              <w:t>Custom pharmacy integrations may incur additional one-time integration fees and extend go-live timeline by 5–15 business days depending on pharmacy's technical maturity.</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Assign client to one or more of the four pre-integrated pharmacy partners above.</w:t>
              <w:br/>
              <w:t>Pharmacy assignment is based on:</w:t>
              <w:br/>
              <w:t>• Medication list (see Section 3.3)</w:t>
              <w:br/>
              <w:t>• Geographic coverage needs</w:t>
              <w:br/>
              <w:t>• Volume projections</w:t>
              <w:br/>
              <w:t>• Turnaround SLA requirements</w:t>
            </w:r>
          </w:p>
        </w:tc>
      </w:tr>
    </w:tbl>
    <w:p/>
    <w:p>
      <w:pPr>
        <w:spacing w:before="120" w:after="120"/>
        <w:pBdr>
          <w:bottom w:val="single" w:sz="4" w:space="1" w:color="E2E8F0"/>
        </w:pBdr>
      </w:pPr>
    </w:p>
    <w:p>
      <w:pPr>
        <w:spacing w:before="280" w:after="80"/>
      </w:pPr>
      <w:r>
        <w:rPr>
          <w:rFonts w:ascii="Arial" w:hAnsi="Arial"/>
          <w:b/>
          <w:color w:val="0A1F44"/>
          <w:sz w:val="28"/>
        </w:rPr>
        <w:t>3.3  Medication List &amp; Protocol Sync</w:t>
      </w:r>
    </w:p>
    <w:p>
      <w:pPr>
        <w:spacing w:before="0" w:after="120"/>
        <w:jc w:val="left"/>
      </w:pPr>
      <w:r>
        <w:rPr>
          <w:rFonts w:ascii="Arial" w:hAnsi="Arial"/>
          <w:b w:val="0"/>
          <w:i w:val="0"/>
          <w:color w:val="4A5A6A"/>
          <w:sz w:val="22"/>
        </w:rPr>
        <w:t>Each client requires a client-specific medication list — the complete formulary of medications, dosages, forms, and SKUs that will be available to prescribing providers on the platform. This list drives pharmacy routing, doctor group protocol alignment, and checkout product catalog.</w:t>
      </w:r>
    </w:p>
    <w:p>
      <w:pPr>
        <w:spacing w:before="200" w:after="60"/>
      </w:pPr>
      <w:r>
        <w:rPr>
          <w:rFonts w:ascii="Arial" w:hAnsi="Arial"/>
          <w:b/>
          <w:color w:val="00B5A3"/>
          <w:sz w:val="24"/>
        </w:rPr>
        <w:t>Medication List Collection Process</w:t>
      </w:r>
    </w:p>
    <w:p>
      <w:pPr>
        <w:pStyle w:val="ListBullet"/>
        <w:spacing w:before="20" w:after="40"/>
        <w:ind w:left="288"/>
      </w:pPr>
      <w:r>
        <w:rPr>
          <w:rFonts w:ascii="Arial" w:hAnsi="Arial"/>
          <w:b/>
          <w:color w:val="0A1F44"/>
          <w:sz w:val="22"/>
        </w:rPr>
        <w:t xml:space="preserve">Step 1 — Client provides medication list:  </w:t>
      </w:r>
      <w:r>
        <w:rPr>
          <w:rFonts w:ascii="Arial" w:hAnsi="Arial"/>
          <w:color w:val="4A5A6A"/>
          <w:sz w:val="22"/>
        </w:rPr>
        <w:t>All medications by generic name, strength, form (injectable, oral, topical, etc.), quantity, and preferred pharmacy source. Template provided by PSM at kickoff.</w:t>
      </w:r>
    </w:p>
    <w:p/>
    <w:p>
      <w:pPr>
        <w:pStyle w:val="ListBullet"/>
        <w:spacing w:before="20" w:after="40"/>
        <w:ind w:left="288"/>
      </w:pPr>
      <w:r>
        <w:rPr>
          <w:rFonts w:ascii="Arial" w:hAnsi="Arial"/>
          <w:b/>
          <w:color w:val="0A1F44"/>
          <w:sz w:val="22"/>
        </w:rPr>
        <w:t xml:space="preserve">Step 2 — Cloud Health pharmacy team validates:  </w:t>
      </w:r>
      <w:r>
        <w:rPr>
          <w:rFonts w:ascii="Arial" w:hAnsi="Arial"/>
          <w:color w:val="4A5A6A"/>
          <w:sz w:val="22"/>
        </w:rPr>
        <w:t>Each medication is cross-referenced against each assigned pharmacy's active formulary. Unavailable medications are flagged and alternatives proposed.</w:t>
      </w:r>
    </w:p>
    <w:p/>
    <w:p>
      <w:pPr>
        <w:pStyle w:val="ListBullet"/>
        <w:spacing w:before="20" w:after="40"/>
        <w:ind w:left="288"/>
      </w:pPr>
      <w:r>
        <w:rPr>
          <w:rFonts w:ascii="Arial" w:hAnsi="Arial"/>
          <w:b/>
          <w:color w:val="0A1F44"/>
          <w:sz w:val="22"/>
        </w:rPr>
        <w:t xml:space="preserve">Step 3 — Build pharmacy-specific formulary repository:  </w:t>
      </w:r>
      <w:r>
        <w:rPr>
          <w:rFonts w:ascii="Arial" w:hAnsi="Arial"/>
          <w:color w:val="4A5A6A"/>
          <w:sz w:val="22"/>
        </w:rPr>
        <w:t>Cloud Health builds and maintains a per-pharmacy medication repo in the platform. Each SKU is mapped to the correct NDC code, pricing tier, and fulfillment pathway.</w:t>
      </w:r>
    </w:p>
    <w:p/>
    <w:p>
      <w:pPr>
        <w:pStyle w:val="ListBullet"/>
        <w:spacing w:before="20" w:after="40"/>
        <w:ind w:left="288"/>
      </w:pPr>
      <w:r>
        <w:rPr>
          <w:rFonts w:ascii="Arial" w:hAnsi="Arial"/>
          <w:b/>
          <w:color w:val="0A1F44"/>
          <w:sz w:val="22"/>
        </w:rPr>
        <w:t xml:space="preserve">Step 4 — Sync to doctor group protocols:  </w:t>
      </w:r>
      <w:r>
        <w:rPr>
          <w:rFonts w:ascii="Arial" w:hAnsi="Arial"/>
          <w:color w:val="4A5A6A"/>
          <w:sz w:val="22"/>
        </w:rPr>
        <w:t>Clinical team reviews medication list with assigned doctor group. Prescribing protocols (indications, dosing ranges, monitoring requirements, refill cadence) are documented and loaded into the provider-facing prescribing console.</w:t>
      </w:r>
    </w:p>
    <w:p/>
    <w:p>
      <w:pPr>
        <w:pStyle w:val="ListBullet"/>
        <w:spacing w:before="20" w:after="40"/>
        <w:ind w:left="288"/>
      </w:pPr>
      <w:r>
        <w:rPr>
          <w:rFonts w:ascii="Arial" w:hAnsi="Arial"/>
          <w:b/>
          <w:color w:val="0A1F44"/>
          <w:sz w:val="22"/>
        </w:rPr>
        <w:t xml:space="preserve">Step 5 — Client review and sign-off:  </w:t>
      </w:r>
      <w:r>
        <w:rPr>
          <w:rFonts w:ascii="Arial" w:hAnsi="Arial"/>
          <w:color w:val="4A5A6A"/>
          <w:sz w:val="22"/>
        </w:rPr>
        <w:t>Client medical director (or designated clinical lead) reviews and approves the protocol documentation before the platform goes live. This is a required compliance step.</w:t>
      </w:r>
    </w:p>
    <w:p/>
    <w:tbl>
      <w:tblPr>
        <w:tblStyle w:val="TableGrid"/>
        <w:tblW w:type="auto" w:w="0"/>
        <w:tblLook w:firstColumn="1" w:firstRow="1" w:lastColumn="0" w:lastRow="0" w:noHBand="0" w:noVBand="1" w:val="04A0"/>
      </w:tblPr>
      <w:tblGrid>
        <w:gridCol w:w="9648"/>
      </w:tblGrid>
      <w:tr>
        <w:tc>
          <w:tcPr>
            <w:tcW w:type="dxa" w:w="9648"/>
            <w:shd w:val="clear" w:color="auto" w:fill="FFF4E5"/>
            <w:tcMar>
              <w:top w:w="120" w:type="dxa"/>
              <w:bottom w:w="120" w:type="dxa"/>
              <w:left w:w="160" w:type="dxa"/>
              <w:right w:w="160" w:type="dxa"/>
            </w:tcMar>
            <w:tcW w:w="9360" w:type="dxa"/>
          </w:tcPr>
          <w:p>
            <w:r>
              <w:rPr>
                <w:rFonts w:ascii="Arial" w:hAnsi="Arial"/>
                <w:color w:val="924000"/>
                <w:sz w:val="22"/>
              </w:rPr>
              <w:t>⚠️  ACTION ITEM: PSM sends Medication List Template to client within 24 hours of kickoff call. Client must return completed template within 3 business days to stay on 14-day go-live schedule. Delays in medication list submission are the #1 cause of onboarding timeline overruns.</w:t>
            </w:r>
          </w:p>
        </w:tc>
      </w:tr>
    </w:tbl>
    <w:p/>
    <w:p>
      <w:pPr>
        <w:spacing w:before="120" w:after="120"/>
        <w:pBdr>
          <w:bottom w:val="single" w:sz="4" w:space="1" w:color="E2E8F0"/>
        </w:pBdr>
      </w:pPr>
    </w:p>
    <w:p>
      <w:pPr>
        <w:spacing w:before="280" w:after="80"/>
      </w:pPr>
      <w:r>
        <w:rPr>
          <w:rFonts w:ascii="Arial" w:hAnsi="Arial"/>
          <w:b/>
          <w:color w:val="0A1F44"/>
          <w:sz w:val="28"/>
        </w:rPr>
        <w:t>3.4  Pharmacy Technician Support</w:t>
      </w:r>
    </w:p>
    <w:p>
      <w:pPr>
        <w:spacing w:before="0" w:after="120"/>
        <w:jc w:val="left"/>
      </w:pPr>
      <w:r>
        <w:rPr>
          <w:rFonts w:ascii="Arial" w:hAnsi="Arial"/>
          <w:b w:val="0"/>
          <w:i w:val="0"/>
          <w:color w:val="4A5A6A"/>
          <w:sz w:val="22"/>
        </w:rPr>
        <w:t>A pharmacy technician (pharm tech) is required to manage prior authorizations, refill requests, pharmacy coordination, and order exception handling. This role is the operational bridge between the prescribing platform and the pharmacy.</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an in-house pharmacy technician or clinical ops resource?</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Provision client's pharm tech with Cloud Health Pharmacy Operations Dashboard.</w:t>
              <w:br/>
              <w:t>Access level: Order management, refill queue, prior auth workflow, pharmacy communication log.</w:t>
              <w:br/>
              <w:t>Training: 2-hour virtual onboarding session provided by Cloud Health clinical ops team.</w:t>
            </w:r>
          </w:p>
          <w:p/>
          <w:p>
            <w:r>
              <w:rPr>
                <w:rFonts w:ascii="Arial" w:hAnsi="Arial"/>
                <w:i/>
                <w:color w:val="4A5A6A"/>
                <w:sz w:val="18"/>
              </w:rPr>
              <w:t>Client's pharm tech is responsible for all day-to-day order exception handling. Cloud Health clinical ops is available for escalations.</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Client is placed on the Cloud Health Managed Clinical Operations tier (higher SaaS plan).</w:t>
              <w:br/>
              <w:t>Cloud Health's in-house pharm tech team provides:</w:t>
              <w:br/>
              <w:t>• Prior authorization management</w:t>
              <w:br/>
              <w:t>• Refill request processing</w:t>
              <w:br/>
              <w:t>• Pharmacy exception handling</w:t>
              <w:br/>
              <w:t>• Prescription status communication to patients</w:t>
              <w:br/>
              <w:t>• Monthly clinical operations report</w:t>
            </w:r>
          </w:p>
          <w:p/>
          <w:p>
            <w:r>
              <w:rPr>
                <w:rFonts w:ascii="Arial" w:hAnsi="Arial"/>
                <w:i/>
                <w:color w:val="4A5A6A"/>
                <w:sz w:val="18"/>
              </w:rPr>
              <w:t>Managed Clinical Operations is included at the Professional and Enterprise SaaS tiers. Growth tier clients must upgrade or designate a clinical ops contact.</w:t>
            </w:r>
          </w:p>
        </w:tc>
      </w:tr>
    </w:tbl>
    <w:p/>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4 — Customer Experience (CX) Setup</w:t>
      </w:r>
    </w:p>
    <w:p>
      <w:pPr>
        <w:spacing w:before="0" w:after="120"/>
        <w:jc w:val="left"/>
      </w:pPr>
      <w:r>
        <w:rPr>
          <w:rFonts w:ascii="Arial" w:hAnsi="Arial"/>
          <w:b w:val="0"/>
          <w:i w:val="0"/>
          <w:color w:val="4A5A6A"/>
          <w:sz w:val="22"/>
        </w:rPr>
        <w:t>CX is not optional in telehealth. Patients have questions about their prescriptions, shipping status, refills, and clinical concerns. Unresolved CX gaps create churn, chargebacks, and regulatory risk. Every Cloud Health client must have a defined CX pathway before go-live.</w:t>
      </w:r>
    </w:p>
    <w:tbl>
      <w:tblPr>
        <w:tblStyle w:val="TableGrid"/>
        <w:tblW w:type="auto" w:w="0"/>
        <w:jc w:val="center"/>
        <w:tblLook w:firstColumn="1" w:firstRow="1" w:lastColumn="0" w:lastRow="0" w:noHBand="0" w:noVBand="1" w:val="04A0"/>
      </w:tblPr>
      <w:tblGrid>
        <w:gridCol w:w="3216"/>
        <w:gridCol w:w="3216"/>
        <w:gridCol w:w="3216"/>
      </w:tblGrid>
      <w:tr>
        <w:tc>
          <w:tcPr>
            <w:tcW w:type="dxa" w:w="3216"/>
            <w:tcW w:w="2880" w:type="dxa"/>
            <w:shd w:val="clear" w:color="auto" w:fill="0A1F44"/>
            <w:tcMar>
              <w:top w:w="80" w:type="dxa"/>
              <w:bottom w:w="80" w:type="dxa"/>
              <w:left w:w="120" w:type="dxa"/>
              <w:right w:w="120" w:type="dxa"/>
            </w:tcMar>
          </w:tcPr>
          <w:p>
            <w:pPr>
              <w:jc w:val="left"/>
            </w:pPr>
            <w:r>
              <w:rPr>
                <w:rFonts w:ascii="Arial" w:hAnsi="Arial"/>
                <w:b/>
                <w:color w:val="FFFFFF"/>
                <w:sz w:val="22"/>
              </w:rPr>
              <w:t>Does the client have an existing CX team and helpdesk system?</w:t>
            </w:r>
          </w:p>
        </w:tc>
        <w:tc>
          <w:tcPr>
            <w:tcW w:type="dxa" w:w="3216"/>
            <w:tcW w:w="3240" w:type="dxa"/>
            <w:shd w:val="clear" w:color="auto" w:fill="E8F7F6"/>
            <w:tcMar>
              <w:top w:w="80" w:type="dxa"/>
              <w:bottom w:w="80" w:type="dxa"/>
              <w:left w:w="120" w:type="dxa"/>
              <w:right w:w="120" w:type="dxa"/>
            </w:tcMar>
          </w:tcPr>
          <w:p>
            <w:r>
              <w:rPr>
                <w:rFonts w:ascii="Arial" w:hAnsi="Arial"/>
                <w:b/>
                <w:color w:val="16A34A"/>
                <w:sz w:val="20"/>
              </w:rPr>
              <w:t>✓ YES</w:t>
              <w:br/>
            </w:r>
            <w:r>
              <w:rPr>
                <w:rFonts w:ascii="Arial" w:hAnsi="Arial"/>
                <w:color w:val="4A5A6A"/>
                <w:sz w:val="20"/>
              </w:rPr>
              <w:t>Integrate into Cloud Health notification and escalation system:</w:t>
              <w:br/>
              <w:t>• Configure order status webhooks → client's CX platform</w:t>
              <w:br/>
              <w:t>• Provision CX team with read access to patient order dashboard</w:t>
              <w:br/>
              <w:t>• Set up prescription status and shipping notification triggers</w:t>
              <w:br/>
              <w:t>• Define escalation path for clinical questions (must route to provider, not CX)</w:t>
            </w:r>
          </w:p>
          <w:p/>
          <w:p>
            <w:r>
              <w:rPr>
                <w:rFonts w:ascii="Arial" w:hAnsi="Arial"/>
                <w:i/>
                <w:color w:val="4A5A6A"/>
                <w:sz w:val="18"/>
              </w:rPr>
              <w:t>Supported CX platforms: Zendesk, Intercom, Gorgias, Freshdesk, HelpScout, Kustomer. Others may require custom webhook configuration.</w:t>
            </w:r>
          </w:p>
        </w:tc>
        <w:tc>
          <w:tcPr>
            <w:tcW w:type="dxa" w:w="3216"/>
            <w:tcW w:w="3240" w:type="dxa"/>
            <w:shd w:val="clear" w:color="auto" w:fill="FFF4E5"/>
            <w:tcMar>
              <w:top w:w="80" w:type="dxa"/>
              <w:bottom w:w="80" w:type="dxa"/>
              <w:left w:w="120" w:type="dxa"/>
              <w:right w:w="120" w:type="dxa"/>
            </w:tcMar>
          </w:tcPr>
          <w:p>
            <w:r>
              <w:rPr>
                <w:rFonts w:ascii="Arial" w:hAnsi="Arial"/>
                <w:b/>
                <w:color w:val="DC2626"/>
                <w:sz w:val="20"/>
              </w:rPr>
              <w:t>✗ NO</w:t>
              <w:br/>
            </w:r>
            <w:r>
              <w:rPr>
                <w:rFonts w:ascii="Arial" w:hAnsi="Arial"/>
                <w:color w:val="4A5A6A"/>
                <w:sz w:val="20"/>
              </w:rPr>
              <w:t>Run client through CX requirements briefing (below) before go-live.</w:t>
              <w:br/>
              <w:t>Potential referral to Cloud Health's CX partner agency.</w:t>
            </w:r>
          </w:p>
          <w:p/>
          <w:p>
            <w:r>
              <w:rPr>
                <w:rFonts w:ascii="Arial" w:hAnsi="Arial"/>
                <w:i/>
                <w:color w:val="4A5A6A"/>
                <w:sz w:val="18"/>
              </w:rPr>
              <w:t>Note: Clients coming from OpenLoop or Care Validate may have CX coverage provided through those platforms. Confirm scope with OpenLoop/CV account rep.</w:t>
            </w:r>
          </w:p>
        </w:tc>
      </w:tr>
    </w:tbl>
    <w:p/>
    <w:p>
      <w:pPr>
        <w:spacing w:before="200" w:after="60"/>
      </w:pPr>
      <w:r>
        <w:rPr>
          <w:rFonts w:ascii="Arial" w:hAnsi="Arial"/>
          <w:b/>
          <w:color w:val="00B5A3"/>
          <w:sz w:val="24"/>
        </w:rPr>
        <w:t>CX Requirements Briefing (for clients without existing CX)</w:t>
      </w:r>
    </w:p>
    <w:p>
      <w:pPr>
        <w:spacing w:before="0" w:after="120"/>
        <w:jc w:val="left"/>
      </w:pPr>
      <w:r>
        <w:rPr>
          <w:rFonts w:ascii="Arial" w:hAnsi="Arial"/>
          <w:b w:val="0"/>
          <w:i w:val="0"/>
          <w:color w:val="4A5A6A"/>
          <w:sz w:val="22"/>
        </w:rPr>
        <w:t>If a client does not have a CX function, the PSM must walk them through the following before the platform goes live. Do not skip this conversation.</w:t>
      </w:r>
    </w:p>
    <w:p>
      <w:pPr>
        <w:pStyle w:val="ListBullet"/>
        <w:spacing w:before="20" w:after="40"/>
        <w:ind w:left="288"/>
      </w:pPr>
      <w:r>
        <w:rPr>
          <w:rFonts w:ascii="Arial" w:hAnsi="Arial"/>
          <w:b/>
          <w:color w:val="0A1F44"/>
          <w:sz w:val="22"/>
        </w:rPr>
        <w:t xml:space="preserve">Volume projection:  </w:t>
      </w:r>
      <w:r>
        <w:rPr>
          <w:rFonts w:ascii="Arial" w:hAnsi="Arial"/>
          <w:color w:val="4A5A6A"/>
          <w:sz w:val="22"/>
        </w:rPr>
        <w:t>Estimate inbound CX tickets at 15–25% of monthly order volume. A client processing 500 orders/month should plan for 75–125 CX interactions/month at launch, declining to 5–10% as patient familiarity grows.</w:t>
      </w:r>
    </w:p>
    <w:p/>
    <w:p>
      <w:pPr>
        <w:pStyle w:val="ListBullet"/>
        <w:spacing w:before="20" w:after="40"/>
        <w:ind w:left="288"/>
      </w:pPr>
      <w:r>
        <w:rPr>
          <w:rFonts w:ascii="Arial" w:hAnsi="Arial"/>
          <w:b/>
          <w:color w:val="0A1F44"/>
          <w:sz w:val="22"/>
        </w:rPr>
        <w:t xml:space="preserve">Response time SLA:  </w:t>
      </w:r>
      <w:r>
        <w:rPr>
          <w:rFonts w:ascii="Arial" w:hAnsi="Arial"/>
          <w:color w:val="4A5A6A"/>
          <w:sz w:val="22"/>
        </w:rPr>
        <w:t>Telehealth patients expect fast responses. Cloud Health recommends: &lt;4 hours for shipping/status inquiries; &lt;2 hours for clinical questions (must be escalated to provider); &lt;24 hours for all other inquiries.</w:t>
      </w:r>
    </w:p>
    <w:p/>
    <w:p>
      <w:pPr>
        <w:pStyle w:val="ListBullet"/>
        <w:spacing w:before="20" w:after="40"/>
        <w:ind w:left="288"/>
      </w:pPr>
      <w:r>
        <w:rPr>
          <w:rFonts w:ascii="Arial" w:hAnsi="Arial"/>
          <w:b/>
          <w:color w:val="0A1F44"/>
          <w:sz w:val="22"/>
        </w:rPr>
        <w:t xml:space="preserve">Clinical escalation protocol:  </w:t>
      </w:r>
      <w:r>
        <w:rPr>
          <w:rFonts w:ascii="Arial" w:hAnsi="Arial"/>
          <w:color w:val="4A5A6A"/>
          <w:sz w:val="22"/>
        </w:rPr>
        <w:t>CX agents must NEVER provide clinical advice. A clear protocol must exist for routing clinical questions (drug interactions, side effects, dosing questions) to the prescribing provider within the Cloud Health platform. Cloud Health provides a templated escalation SOP.</w:t>
      </w:r>
    </w:p>
    <w:p/>
    <w:p>
      <w:pPr>
        <w:pStyle w:val="ListBullet"/>
        <w:spacing w:before="20" w:after="40"/>
        <w:ind w:left="288"/>
      </w:pPr>
      <w:r>
        <w:rPr>
          <w:rFonts w:ascii="Arial" w:hAnsi="Arial"/>
          <w:b/>
          <w:color w:val="0A1F44"/>
          <w:sz w:val="22"/>
        </w:rPr>
        <w:t xml:space="preserve">Chargeback prevention:  </w:t>
      </w:r>
      <w:r>
        <w:rPr>
          <w:rFonts w:ascii="Arial" w:hAnsi="Arial"/>
          <w:color w:val="4A5A6A"/>
          <w:sz w:val="22"/>
        </w:rPr>
        <w:t>Telehealth chargebacks are common when patients forget subscriptions or are confused about billing. Cloud Health's notification system sends automated pre-charge reminders — but a CX team must be available to handle refund and cancellation requests promptly.</w:t>
      </w:r>
    </w:p>
    <w:p/>
    <w:p>
      <w:pPr>
        <w:pStyle w:val="ListBullet"/>
        <w:spacing w:before="20" w:after="40"/>
        <w:ind w:left="288"/>
      </w:pPr>
      <w:r>
        <w:rPr>
          <w:rFonts w:ascii="Arial" w:hAnsi="Arial"/>
          <w:b/>
          <w:color w:val="0A1F44"/>
          <w:sz w:val="22"/>
        </w:rPr>
        <w:t xml:space="preserve">HIPAA training for CX staff:  </w:t>
      </w:r>
      <w:r>
        <w:rPr>
          <w:rFonts w:ascii="Arial" w:hAnsi="Arial"/>
          <w:color w:val="4A5A6A"/>
          <w:sz w:val="22"/>
        </w:rPr>
        <w:t>All CX team members who handle patient communications must complete HIPAA awareness training. Cloud Health provides a basic HIPAA training module for client CX staff. Clients are responsible for documenting completion.</w:t>
      </w:r>
    </w:p>
    <w:p/>
    <w:tbl>
      <w:tblPr>
        <w:tblStyle w:val="TableGrid"/>
        <w:tblW w:type="auto" w:w="0"/>
        <w:tblLook w:firstColumn="1" w:firstRow="1" w:lastColumn="0" w:lastRow="0" w:noHBand="0" w:noVBand="1" w:val="04A0"/>
      </w:tblPr>
      <w:tblGrid>
        <w:gridCol w:w="9648"/>
      </w:tblGrid>
      <w:tr>
        <w:tc>
          <w:tcPr>
            <w:tcW w:type="dxa" w:w="9648"/>
            <w:shd w:val="clear" w:color="auto" w:fill="E8F7F6"/>
            <w:tcMar>
              <w:top w:w="120" w:type="dxa"/>
              <w:bottom w:w="120" w:type="dxa"/>
              <w:left w:w="160" w:type="dxa"/>
              <w:right w:w="160" w:type="dxa"/>
            </w:tcMar>
            <w:tcW w:w="9360" w:type="dxa"/>
          </w:tcPr>
          <w:p>
            <w:r>
              <w:rPr>
                <w:rFonts w:ascii="Arial" w:hAnsi="Arial"/>
                <w:color w:val="0A1F44"/>
                <w:sz w:val="22"/>
              </w:rPr>
              <w:t>🤝  CX PARTNER REFERRAL: Cloud Health maintains a relationship with a specialized healthcare CX agency that provides fully HIPAA-trained, telehealth-native CX support. This is available as a connected service for clients who do not have an internal CX function. Ask your PSM for an introduction if needed.</w:t>
            </w:r>
          </w:p>
        </w:tc>
      </w:tr>
    </w:tbl>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5 — Marketing Integrations</w:t>
      </w:r>
    </w:p>
    <w:p>
      <w:pPr>
        <w:spacing w:before="0" w:after="120"/>
        <w:jc w:val="left"/>
      </w:pPr>
      <w:r>
        <w:rPr>
          <w:rFonts w:ascii="Arial" w:hAnsi="Arial"/>
          <w:b w:val="0"/>
          <w:i w:val="0"/>
          <w:color w:val="4A5A6A"/>
          <w:sz w:val="22"/>
        </w:rPr>
        <w:t>Cloud Health's platform is built to integrate cleanly with modern performance marketing stacks. The three pillars are Tracking, Attribution, and Affiliate Networks. Each must be configured before paid media goes live.</w:t>
      </w:r>
    </w:p>
    <w:p>
      <w:pPr>
        <w:spacing w:before="280" w:after="80"/>
      </w:pPr>
      <w:r>
        <w:rPr>
          <w:rFonts w:ascii="Arial" w:hAnsi="Arial"/>
          <w:b/>
          <w:color w:val="0A1F44"/>
          <w:sz w:val="28"/>
        </w:rPr>
        <w:t>5.1  Tracking Setup</w:t>
      </w:r>
    </w:p>
    <w:p>
      <w:pPr>
        <w:spacing w:before="0" w:after="120"/>
        <w:jc w:val="left"/>
      </w:pPr>
      <w:r>
        <w:rPr>
          <w:rFonts w:ascii="Arial" w:hAnsi="Arial"/>
          <w:b w:val="0"/>
          <w:i w:val="0"/>
          <w:color w:val="4A5A6A"/>
          <w:sz w:val="22"/>
        </w:rPr>
        <w:t>Tracking must be implemented at both the frontend (pixel-level) and backend (server-side / Conversions API) to comply with iOS 14+ privacy changes and telehealth advertising platform policies.</w:t>
      </w:r>
    </w:p>
    <w:tbl>
      <w:tblPr>
        <w:tblStyle w:val="TableGrid"/>
        <w:tblW w:type="auto" w:w="0"/>
        <w:jc w:val="left"/>
        <w:tblLook w:firstColumn="1" w:firstRow="1" w:lastColumn="0" w:lastRow="0" w:noHBand="0" w:noVBand="1" w:val="04A0"/>
      </w:tblPr>
      <w:tblGrid>
        <w:gridCol w:w="2412"/>
        <w:gridCol w:w="2412"/>
        <w:gridCol w:w="2412"/>
        <w:gridCol w:w="2412"/>
      </w:tblGrid>
      <w:tr>
        <w:tc>
          <w:tcPr>
            <w:tcW w:type="dxa" w:w="2412"/>
            <w:shd w:val="clear" w:color="auto" w:fill="0A1F44"/>
            <w:tcMar>
              <w:top w:w="80" w:type="dxa"/>
              <w:bottom w:w="80" w:type="dxa"/>
              <w:left w:w="120" w:type="dxa"/>
              <w:right w:w="120" w:type="dxa"/>
            </w:tcMar>
            <w:tcW w:w="1800" w:type="dxa"/>
          </w:tcPr>
          <w:p>
            <w:r>
              <w:rPr>
                <w:rFonts w:ascii="Arial" w:hAnsi="Arial"/>
                <w:b/>
                <w:color w:val="FFFFFF"/>
                <w:sz w:val="20"/>
              </w:rPr>
              <w:t>Platform</w:t>
            </w:r>
          </w:p>
        </w:tc>
        <w:tc>
          <w:tcPr>
            <w:tcW w:type="dxa" w:w="2412"/>
            <w:shd w:val="clear" w:color="auto" w:fill="0A1F44"/>
            <w:tcMar>
              <w:top w:w="80" w:type="dxa"/>
              <w:bottom w:w="80" w:type="dxa"/>
              <w:left w:w="120" w:type="dxa"/>
              <w:right w:w="120" w:type="dxa"/>
            </w:tcMar>
            <w:tcW w:w="1800" w:type="dxa"/>
          </w:tcPr>
          <w:p>
            <w:r>
              <w:rPr>
                <w:rFonts w:ascii="Arial" w:hAnsi="Arial"/>
                <w:b/>
                <w:color w:val="FFFFFF"/>
                <w:sz w:val="20"/>
              </w:rPr>
              <w:t>Required Credentials</w:t>
            </w:r>
          </w:p>
        </w:tc>
        <w:tc>
          <w:tcPr>
            <w:tcW w:type="dxa" w:w="2412"/>
            <w:shd w:val="clear" w:color="auto" w:fill="0A1F44"/>
            <w:tcMar>
              <w:top w:w="80" w:type="dxa"/>
              <w:bottom w:w="80" w:type="dxa"/>
              <w:left w:w="120" w:type="dxa"/>
              <w:right w:w="120" w:type="dxa"/>
            </w:tcMar>
            <w:tcW w:w="4000" w:type="dxa"/>
          </w:tcPr>
          <w:p>
            <w:r>
              <w:rPr>
                <w:rFonts w:ascii="Arial" w:hAnsi="Arial"/>
                <w:b/>
                <w:color w:val="FFFFFF"/>
                <w:sz w:val="20"/>
              </w:rPr>
              <w:t>Cloud Health Implementation</w:t>
            </w:r>
          </w:p>
        </w:tc>
        <w:tc>
          <w:tcPr>
            <w:tcW w:type="dxa" w:w="2412"/>
            <w:shd w:val="clear" w:color="auto" w:fill="0A1F44"/>
            <w:tcMar>
              <w:top w:w="80" w:type="dxa"/>
              <w:bottom w:w="80" w:type="dxa"/>
              <w:left w:w="120" w:type="dxa"/>
              <w:right w:w="120" w:type="dxa"/>
            </w:tcMar>
            <w:tcW w:w="1760" w:type="dxa"/>
          </w:tcPr>
          <w:p>
            <w:r>
              <w:rPr>
                <w:rFonts w:ascii="Arial" w:hAnsi="Arial"/>
                <w:b/>
                <w:color w:val="FFFFFF"/>
                <w:sz w:val="20"/>
              </w:rPr>
              <w:t>Cost</w:t>
            </w:r>
          </w:p>
        </w:tc>
      </w:tr>
      <w:tr>
        <w:tc>
          <w:tcPr>
            <w:tcW w:type="dxa" w:w="2412"/>
            <w:shd w:val="clear" w:color="auto" w:fill="F4F6F8"/>
            <w:tcMar>
              <w:top w:w="80" w:type="dxa"/>
              <w:bottom w:w="80" w:type="dxa"/>
              <w:left w:w="120" w:type="dxa"/>
              <w:right w:w="120" w:type="dxa"/>
            </w:tcMar>
            <w:tcW w:w="1800" w:type="dxa"/>
          </w:tcPr>
          <w:p>
            <w:r>
              <w:rPr>
                <w:rFonts w:ascii="Arial" w:hAnsi="Arial"/>
                <w:color w:val="4A5A6A"/>
                <w:sz w:val="20"/>
              </w:rPr>
              <w:t>Google Analytics 4 (GA4)</w:t>
            </w:r>
          </w:p>
        </w:tc>
        <w:tc>
          <w:tcPr>
            <w:tcW w:type="dxa" w:w="2412"/>
            <w:shd w:val="clear" w:color="auto" w:fill="F4F6F8"/>
            <w:tcMar>
              <w:top w:w="80" w:type="dxa"/>
              <w:bottom w:w="80" w:type="dxa"/>
              <w:left w:w="120" w:type="dxa"/>
              <w:right w:w="120" w:type="dxa"/>
            </w:tcMar>
            <w:tcW w:w="1800" w:type="dxa"/>
          </w:tcPr>
          <w:p>
            <w:r>
              <w:rPr>
                <w:rFonts w:ascii="Arial" w:hAnsi="Arial"/>
                <w:color w:val="4A5A6A"/>
                <w:sz w:val="20"/>
              </w:rPr>
              <w:t>Measurement ID (G-XXXXXXXX)</w:t>
            </w:r>
          </w:p>
        </w:tc>
        <w:tc>
          <w:tcPr>
            <w:tcW w:type="dxa" w:w="2412"/>
            <w:shd w:val="clear" w:color="auto" w:fill="F4F6F8"/>
            <w:tcMar>
              <w:top w:w="80" w:type="dxa"/>
              <w:bottom w:w="80" w:type="dxa"/>
              <w:left w:w="120" w:type="dxa"/>
              <w:right w:w="120" w:type="dxa"/>
            </w:tcMar>
            <w:tcW w:w="4000" w:type="dxa"/>
          </w:tcPr>
          <w:p>
            <w:r>
              <w:rPr>
                <w:rFonts w:ascii="Arial" w:hAnsi="Arial"/>
                <w:color w:val="4A5A6A"/>
                <w:sz w:val="20"/>
              </w:rPr>
              <w:t>Standard Cloud Health integration via GTM. Tracks intake starts, checkout events, and subscription activations as GA4 custom events. Enhanced measurement enabled by default.</w:t>
            </w:r>
          </w:p>
        </w:tc>
        <w:tc>
          <w:tcPr>
            <w:tcW w:type="dxa" w:w="2412"/>
            <w:shd w:val="clear" w:color="auto" w:fill="F4F6F8"/>
            <w:tcMar>
              <w:top w:w="80" w:type="dxa"/>
              <w:bottom w:w="80" w:type="dxa"/>
              <w:left w:w="120" w:type="dxa"/>
              <w:right w:w="120" w:type="dxa"/>
            </w:tcMar>
            <w:tcW w:w="1760" w:type="dxa"/>
          </w:tcPr>
          <w:p>
            <w:r>
              <w:rPr>
                <w:rFonts w:ascii="Arial" w:hAnsi="Arial"/>
                <w:color w:val="4A5A6A"/>
                <w:sz w:val="20"/>
              </w:rPr>
              <w:t>Included — PSM configures at onboarding</w:t>
            </w:r>
          </w:p>
        </w:tc>
      </w:tr>
      <w:tr>
        <w:tc>
          <w:tcPr>
            <w:tcW w:type="dxa" w:w="2412"/>
            <w:shd w:val="clear" w:color="auto" w:fill="FFFFFF"/>
            <w:tcMar>
              <w:top w:w="80" w:type="dxa"/>
              <w:bottom w:w="80" w:type="dxa"/>
              <w:left w:w="120" w:type="dxa"/>
              <w:right w:w="120" w:type="dxa"/>
            </w:tcMar>
            <w:tcW w:w="1800" w:type="dxa"/>
          </w:tcPr>
          <w:p>
            <w:r>
              <w:rPr>
                <w:rFonts w:ascii="Arial" w:hAnsi="Arial"/>
                <w:color w:val="4A5A6A"/>
                <w:sz w:val="20"/>
              </w:rPr>
              <w:t>Meta Pixel + Conversions API</w:t>
            </w:r>
          </w:p>
        </w:tc>
        <w:tc>
          <w:tcPr>
            <w:tcW w:type="dxa" w:w="2412"/>
            <w:shd w:val="clear" w:color="auto" w:fill="FFFFFF"/>
            <w:tcMar>
              <w:top w:w="80" w:type="dxa"/>
              <w:bottom w:w="80" w:type="dxa"/>
              <w:left w:w="120" w:type="dxa"/>
              <w:right w:w="120" w:type="dxa"/>
            </w:tcMar>
            <w:tcW w:w="1800" w:type="dxa"/>
          </w:tcPr>
          <w:p>
            <w:r>
              <w:rPr>
                <w:rFonts w:ascii="Arial" w:hAnsi="Arial"/>
                <w:color w:val="4A5A6A"/>
                <w:sz w:val="20"/>
              </w:rPr>
              <w:t>Pixel ID + Access Token</w:t>
            </w:r>
          </w:p>
        </w:tc>
        <w:tc>
          <w:tcPr>
            <w:tcW w:type="dxa" w:w="2412"/>
            <w:shd w:val="clear" w:color="auto" w:fill="FFFFFF"/>
            <w:tcMar>
              <w:top w:w="80" w:type="dxa"/>
              <w:bottom w:w="80" w:type="dxa"/>
              <w:left w:w="120" w:type="dxa"/>
              <w:right w:w="120" w:type="dxa"/>
            </w:tcMar>
            <w:tcW w:w="4000" w:type="dxa"/>
          </w:tcPr>
          <w:p>
            <w:r>
              <w:rPr>
                <w:rFonts w:ascii="Arial" w:hAnsi="Arial"/>
                <w:color w:val="4A5A6A"/>
                <w:sz w:val="20"/>
              </w:rPr>
              <w:t>Dual-implementation: browser pixel for standard events + server-side CAPI for purchase, subscribe, and lead events. Server-side is required for LegitScript-compliant telehealth advertisers on Meta. Deduplication handled via event_id parameter.</w:t>
            </w:r>
          </w:p>
        </w:tc>
        <w:tc>
          <w:tcPr>
            <w:tcW w:type="dxa" w:w="2412"/>
            <w:shd w:val="clear" w:color="auto" w:fill="FFFFFF"/>
            <w:tcMar>
              <w:top w:w="80" w:type="dxa"/>
              <w:bottom w:w="80" w:type="dxa"/>
              <w:left w:w="120" w:type="dxa"/>
              <w:right w:w="120" w:type="dxa"/>
            </w:tcMar>
            <w:tcW w:w="1760" w:type="dxa"/>
          </w:tcPr>
          <w:p>
            <w:r>
              <w:rPr>
                <w:rFonts w:ascii="Arial" w:hAnsi="Arial"/>
                <w:color w:val="4A5A6A"/>
                <w:sz w:val="20"/>
              </w:rPr>
              <w:t>Included — solutions engineer configures CAPI</w:t>
            </w:r>
          </w:p>
        </w:tc>
      </w:tr>
      <w:tr>
        <w:tc>
          <w:tcPr>
            <w:tcW w:type="dxa" w:w="2412"/>
            <w:shd w:val="clear" w:color="auto" w:fill="F4F6F8"/>
            <w:tcMar>
              <w:top w:w="80" w:type="dxa"/>
              <w:bottom w:w="80" w:type="dxa"/>
              <w:left w:w="120" w:type="dxa"/>
              <w:right w:w="120" w:type="dxa"/>
            </w:tcMar>
            <w:tcW w:w="1800" w:type="dxa"/>
          </w:tcPr>
          <w:p>
            <w:r>
              <w:rPr>
                <w:rFonts w:ascii="Arial" w:hAnsi="Arial"/>
                <w:color w:val="4A5A6A"/>
                <w:sz w:val="20"/>
              </w:rPr>
              <w:t>Google Ads (gclid + Enhanced Conversions)</w:t>
            </w:r>
          </w:p>
        </w:tc>
        <w:tc>
          <w:tcPr>
            <w:tcW w:type="dxa" w:w="2412"/>
            <w:shd w:val="clear" w:color="auto" w:fill="F4F6F8"/>
            <w:tcMar>
              <w:top w:w="80" w:type="dxa"/>
              <w:bottom w:w="80" w:type="dxa"/>
              <w:left w:w="120" w:type="dxa"/>
              <w:right w:w="120" w:type="dxa"/>
            </w:tcMar>
            <w:tcW w:w="1800" w:type="dxa"/>
          </w:tcPr>
          <w:p>
            <w:r>
              <w:rPr>
                <w:rFonts w:ascii="Arial" w:hAnsi="Arial"/>
                <w:color w:val="4A5A6A"/>
                <w:sz w:val="20"/>
              </w:rPr>
              <w:t>Google Ads Conversion ID + Label</w:t>
            </w:r>
          </w:p>
        </w:tc>
        <w:tc>
          <w:tcPr>
            <w:tcW w:type="dxa" w:w="2412"/>
            <w:shd w:val="clear" w:color="auto" w:fill="F4F6F8"/>
            <w:tcMar>
              <w:top w:w="80" w:type="dxa"/>
              <w:bottom w:w="80" w:type="dxa"/>
              <w:left w:w="120" w:type="dxa"/>
              <w:right w:w="120" w:type="dxa"/>
            </w:tcMar>
            <w:tcW w:w="4000" w:type="dxa"/>
          </w:tcPr>
          <w:p>
            <w:r>
              <w:rPr>
                <w:rFonts w:ascii="Arial" w:hAnsi="Arial"/>
                <w:color w:val="4A5A6A"/>
                <w:sz w:val="20"/>
              </w:rPr>
              <w:t>Conversion tracking for checkout complete and subscription activation. Enhanced Conversions (hashed email) enabled for improved matching. Tracks through Cloud Health checkout regardless of intake source.</w:t>
            </w:r>
          </w:p>
        </w:tc>
        <w:tc>
          <w:tcPr>
            <w:tcW w:type="dxa" w:w="2412"/>
            <w:shd w:val="clear" w:color="auto" w:fill="F4F6F8"/>
            <w:tcMar>
              <w:top w:w="80" w:type="dxa"/>
              <w:bottom w:w="80" w:type="dxa"/>
              <w:left w:w="120" w:type="dxa"/>
              <w:right w:w="120" w:type="dxa"/>
            </w:tcMar>
            <w:tcW w:w="1760" w:type="dxa"/>
          </w:tcPr>
          <w:p>
            <w:r>
              <w:rPr>
                <w:rFonts w:ascii="Arial" w:hAnsi="Arial"/>
                <w:color w:val="4A5A6A"/>
                <w:sz w:val="20"/>
              </w:rPr>
              <w:t>Included</w:t>
            </w:r>
          </w:p>
        </w:tc>
      </w:tr>
      <w:tr>
        <w:tc>
          <w:tcPr>
            <w:tcW w:type="dxa" w:w="2412"/>
            <w:shd w:val="clear" w:color="auto" w:fill="FFFFFF"/>
            <w:tcMar>
              <w:top w:w="80" w:type="dxa"/>
              <w:bottom w:w="80" w:type="dxa"/>
              <w:left w:w="120" w:type="dxa"/>
              <w:right w:w="120" w:type="dxa"/>
            </w:tcMar>
            <w:tcW w:w="1800" w:type="dxa"/>
          </w:tcPr>
          <w:p>
            <w:r>
              <w:rPr>
                <w:rFonts w:ascii="Arial" w:hAnsi="Arial"/>
                <w:color w:val="4A5A6A"/>
                <w:sz w:val="20"/>
              </w:rPr>
              <w:t>TikTok Pixel + Events API</w:t>
            </w:r>
          </w:p>
        </w:tc>
        <w:tc>
          <w:tcPr>
            <w:tcW w:type="dxa" w:w="2412"/>
            <w:shd w:val="clear" w:color="auto" w:fill="FFFFFF"/>
            <w:tcMar>
              <w:top w:w="80" w:type="dxa"/>
              <w:bottom w:w="80" w:type="dxa"/>
              <w:left w:w="120" w:type="dxa"/>
              <w:right w:w="120" w:type="dxa"/>
            </w:tcMar>
            <w:tcW w:w="1800" w:type="dxa"/>
          </w:tcPr>
          <w:p>
            <w:r>
              <w:rPr>
                <w:rFonts w:ascii="Arial" w:hAnsi="Arial"/>
                <w:color w:val="4A5A6A"/>
                <w:sz w:val="20"/>
              </w:rPr>
              <w:t>Pixel Code + Access Token</w:t>
            </w:r>
          </w:p>
        </w:tc>
        <w:tc>
          <w:tcPr>
            <w:tcW w:type="dxa" w:w="2412"/>
            <w:shd w:val="clear" w:color="auto" w:fill="FFFFFF"/>
            <w:tcMar>
              <w:top w:w="80" w:type="dxa"/>
              <w:bottom w:w="80" w:type="dxa"/>
              <w:left w:w="120" w:type="dxa"/>
              <w:right w:w="120" w:type="dxa"/>
            </w:tcMar>
            <w:tcW w:w="4000" w:type="dxa"/>
          </w:tcPr>
          <w:p>
            <w:r>
              <w:rPr>
                <w:rFonts w:ascii="Arial" w:hAnsi="Arial"/>
                <w:color w:val="4A5A6A"/>
                <w:sz w:val="20"/>
              </w:rPr>
              <w:t>Dual implementation mirroring Meta setup. Server-side Events API for purchase events. Required if client is running TikTok paid media.</w:t>
            </w:r>
          </w:p>
        </w:tc>
        <w:tc>
          <w:tcPr>
            <w:tcW w:type="dxa" w:w="2412"/>
            <w:shd w:val="clear" w:color="auto" w:fill="FFFFFF"/>
            <w:tcMar>
              <w:top w:w="80" w:type="dxa"/>
              <w:bottom w:w="80" w:type="dxa"/>
              <w:left w:w="120" w:type="dxa"/>
              <w:right w:w="120" w:type="dxa"/>
            </w:tcMar>
            <w:tcW w:w="1760" w:type="dxa"/>
          </w:tcPr>
          <w:p>
            <w:r>
              <w:rPr>
                <w:rFonts w:ascii="Arial" w:hAnsi="Arial"/>
                <w:color w:val="4A5A6A"/>
                <w:sz w:val="20"/>
              </w:rPr>
              <w:t>Included — flag at kickoff if TikTok is in media plan</w:t>
            </w:r>
          </w:p>
        </w:tc>
      </w:tr>
      <w:tr>
        <w:tc>
          <w:tcPr>
            <w:tcW w:type="dxa" w:w="2412"/>
            <w:shd w:val="clear" w:color="auto" w:fill="F4F6F8"/>
            <w:tcMar>
              <w:top w:w="80" w:type="dxa"/>
              <w:bottom w:w="80" w:type="dxa"/>
              <w:left w:w="120" w:type="dxa"/>
              <w:right w:w="120" w:type="dxa"/>
            </w:tcMar>
            <w:tcW w:w="1800" w:type="dxa"/>
          </w:tcPr>
          <w:p>
            <w:r>
              <w:rPr>
                <w:rFonts w:ascii="Arial" w:hAnsi="Arial"/>
                <w:color w:val="4A5A6A"/>
                <w:sz w:val="20"/>
              </w:rPr>
              <w:t>Segment (CDP)</w:t>
            </w:r>
          </w:p>
        </w:tc>
        <w:tc>
          <w:tcPr>
            <w:tcW w:type="dxa" w:w="2412"/>
            <w:shd w:val="clear" w:color="auto" w:fill="F4F6F8"/>
            <w:tcMar>
              <w:top w:w="80" w:type="dxa"/>
              <w:bottom w:w="80" w:type="dxa"/>
              <w:left w:w="120" w:type="dxa"/>
              <w:right w:w="120" w:type="dxa"/>
            </w:tcMar>
            <w:tcW w:w="1800" w:type="dxa"/>
          </w:tcPr>
          <w:p>
            <w:r>
              <w:rPr>
                <w:rFonts w:ascii="Arial" w:hAnsi="Arial"/>
                <w:color w:val="4A5A6A"/>
                <w:sz w:val="20"/>
              </w:rPr>
              <w:t>Write Key</w:t>
            </w:r>
          </w:p>
        </w:tc>
        <w:tc>
          <w:tcPr>
            <w:tcW w:type="dxa" w:w="2412"/>
            <w:shd w:val="clear" w:color="auto" w:fill="F4F6F8"/>
            <w:tcMar>
              <w:top w:w="80" w:type="dxa"/>
              <w:bottom w:w="80" w:type="dxa"/>
              <w:left w:w="120" w:type="dxa"/>
              <w:right w:w="120" w:type="dxa"/>
            </w:tcMar>
            <w:tcW w:w="4000" w:type="dxa"/>
          </w:tcPr>
          <w:p>
            <w:r>
              <w:rPr>
                <w:rFonts w:ascii="Arial" w:hAnsi="Arial"/>
                <w:color w:val="4A5A6A"/>
                <w:sz w:val="20"/>
              </w:rPr>
              <w:t>Optional but recommended for multi-channel attribution. Cloud Health fires all conversion events to Segment, which routes to downstream tools (Amplitude, Mixpanel, Klaviyo, Braze, etc.). Best for clients with existing Segment implementation.</w:t>
            </w:r>
          </w:p>
        </w:tc>
        <w:tc>
          <w:tcPr>
            <w:tcW w:type="dxa" w:w="2412"/>
            <w:shd w:val="clear" w:color="auto" w:fill="F4F6F8"/>
            <w:tcMar>
              <w:top w:w="80" w:type="dxa"/>
              <w:bottom w:w="80" w:type="dxa"/>
              <w:left w:w="120" w:type="dxa"/>
              <w:right w:w="120" w:type="dxa"/>
            </w:tcMar>
            <w:tcW w:w="1760" w:type="dxa"/>
          </w:tcPr>
          <w:p>
            <w:r>
              <w:rPr>
                <w:rFonts w:ascii="Arial" w:hAnsi="Arial"/>
                <w:color w:val="4A5A6A"/>
                <w:sz w:val="20"/>
              </w:rPr>
              <w:t>Included for Professional/Enterprise tiers</w:t>
            </w:r>
          </w:p>
        </w:tc>
      </w:tr>
      <w:tr>
        <w:tc>
          <w:tcPr>
            <w:tcW w:type="dxa" w:w="2412"/>
            <w:shd w:val="clear" w:color="auto" w:fill="FFFFFF"/>
            <w:tcMar>
              <w:top w:w="80" w:type="dxa"/>
              <w:bottom w:w="80" w:type="dxa"/>
              <w:left w:w="120" w:type="dxa"/>
              <w:right w:w="120" w:type="dxa"/>
            </w:tcMar>
            <w:tcW w:w="1800" w:type="dxa"/>
          </w:tcPr>
          <w:p>
            <w:r>
              <w:rPr>
                <w:rFonts w:ascii="Arial" w:hAnsi="Arial"/>
                <w:color w:val="4A5A6A"/>
                <w:sz w:val="20"/>
              </w:rPr>
              <w:t>Google Tag Manager (GTM)</w:t>
            </w:r>
          </w:p>
        </w:tc>
        <w:tc>
          <w:tcPr>
            <w:tcW w:type="dxa" w:w="2412"/>
            <w:shd w:val="clear" w:color="auto" w:fill="FFFFFF"/>
            <w:tcMar>
              <w:top w:w="80" w:type="dxa"/>
              <w:bottom w:w="80" w:type="dxa"/>
              <w:left w:w="120" w:type="dxa"/>
              <w:right w:w="120" w:type="dxa"/>
            </w:tcMar>
            <w:tcW w:w="1800" w:type="dxa"/>
          </w:tcPr>
          <w:p>
            <w:r>
              <w:rPr>
                <w:rFonts w:ascii="Arial" w:hAnsi="Arial"/>
                <w:color w:val="4A5A6A"/>
                <w:sz w:val="20"/>
              </w:rPr>
              <w:t>GTM Container ID</w:t>
            </w:r>
          </w:p>
        </w:tc>
        <w:tc>
          <w:tcPr>
            <w:tcW w:type="dxa" w:w="2412"/>
            <w:shd w:val="clear" w:color="auto" w:fill="FFFFFF"/>
            <w:tcMar>
              <w:top w:w="80" w:type="dxa"/>
              <w:bottom w:w="80" w:type="dxa"/>
              <w:left w:w="120" w:type="dxa"/>
              <w:right w:w="120" w:type="dxa"/>
            </w:tcMar>
            <w:tcW w:w="4000" w:type="dxa"/>
          </w:tcPr>
          <w:p>
            <w:r>
              <w:rPr>
                <w:rFonts w:ascii="Arial" w:hAnsi="Arial"/>
                <w:color w:val="4A5A6A"/>
                <w:sz w:val="20"/>
              </w:rPr>
              <w:t>All tracking tags are deployed via GTM by default. Client provides GTM container ID; Cloud Health PSM deploys all tags. Gives client ongoing flexibility to add/modify tags without Cloud Health engineering dependency.</w:t>
            </w:r>
          </w:p>
        </w:tc>
        <w:tc>
          <w:tcPr>
            <w:tcW w:type="dxa" w:w="2412"/>
            <w:shd w:val="clear" w:color="auto" w:fill="FFFFFF"/>
            <w:tcMar>
              <w:top w:w="80" w:type="dxa"/>
              <w:bottom w:w="80" w:type="dxa"/>
              <w:left w:w="120" w:type="dxa"/>
              <w:right w:w="120" w:type="dxa"/>
            </w:tcMar>
            <w:tcW w:w="1760" w:type="dxa"/>
          </w:tcPr>
          <w:p>
            <w:r>
              <w:rPr>
                <w:rFonts w:ascii="Arial" w:hAnsi="Arial"/>
                <w:color w:val="4A5A6A"/>
                <w:sz w:val="20"/>
              </w:rPr>
              <w:t>Included — recommended for all clients</w:t>
            </w:r>
          </w:p>
        </w:tc>
      </w:tr>
    </w:tbl>
    <w:p/>
    <w:p>
      <w:pPr>
        <w:spacing w:before="120" w:after="120"/>
        <w:pBdr>
          <w:bottom w:val="single" w:sz="4" w:space="1" w:color="E2E8F0"/>
        </w:pBdr>
      </w:pPr>
    </w:p>
    <w:p>
      <w:pPr>
        <w:spacing w:before="280" w:after="80"/>
      </w:pPr>
      <w:r>
        <w:rPr>
          <w:rFonts w:ascii="Arial" w:hAnsi="Arial"/>
          <w:b/>
          <w:color w:val="0A1F44"/>
          <w:sz w:val="28"/>
        </w:rPr>
        <w:t>5.2  Attribution Configuration</w:t>
      </w:r>
    </w:p>
    <w:p>
      <w:pPr>
        <w:spacing w:before="0" w:after="120"/>
        <w:jc w:val="left"/>
      </w:pPr>
      <w:r>
        <w:rPr>
          <w:rFonts w:ascii="Arial" w:hAnsi="Arial"/>
          <w:b w:val="0"/>
          <w:i w:val="0"/>
          <w:color w:val="4A5A6A"/>
          <w:sz w:val="22"/>
        </w:rPr>
        <w:t>Attribution configuration determines how Cloud Health reports on which marketing channels, campaigns, and creatives are driving patient acquisition and revenue. This must be agreed upon before launch — changing attribution models post-launch creates data inconsistencies.</w:t>
      </w:r>
    </w:p>
    <w:p>
      <w:pPr>
        <w:spacing w:before="200" w:after="60"/>
      </w:pPr>
      <w:r>
        <w:rPr>
          <w:rFonts w:ascii="Arial" w:hAnsi="Arial"/>
          <w:b/>
          <w:color w:val="00B5A3"/>
          <w:sz w:val="24"/>
        </w:rPr>
        <w:t>UTM Framework (Required for All Clients)</w:t>
      </w:r>
    </w:p>
    <w:p>
      <w:pPr>
        <w:spacing w:before="0" w:after="120"/>
        <w:jc w:val="left"/>
      </w:pPr>
      <w:r>
        <w:rPr>
          <w:rFonts w:ascii="Arial" w:hAnsi="Arial"/>
          <w:b w:val="0"/>
          <w:i w:val="0"/>
          <w:color w:val="4A5A6A"/>
          <w:sz w:val="22"/>
        </w:rPr>
        <w:t>Cloud Health uses a standardized UTM parameter framework across all traffic sources. PSM provides the UTM naming convention template at kickoff. All paid media links must use this convention before go-live.</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0A1F44"/>
            <w:tcMar>
              <w:top w:w="80" w:type="dxa"/>
              <w:bottom w:w="80" w:type="dxa"/>
              <w:left w:w="120" w:type="dxa"/>
              <w:right w:w="120" w:type="dxa"/>
            </w:tcMar>
            <w:tcW w:w="1800" w:type="dxa"/>
          </w:tcPr>
          <w:p>
            <w:r>
              <w:rPr>
                <w:rFonts w:ascii="Arial" w:hAnsi="Arial"/>
                <w:b/>
                <w:color w:val="FFFFFF"/>
                <w:sz w:val="20"/>
              </w:rPr>
              <w:t>Parameter</w:t>
            </w:r>
          </w:p>
        </w:tc>
        <w:tc>
          <w:tcPr>
            <w:tcW w:type="dxa" w:w="4824"/>
            <w:shd w:val="clear" w:color="auto" w:fill="0A1F44"/>
            <w:tcMar>
              <w:top w:w="80" w:type="dxa"/>
              <w:bottom w:w="80" w:type="dxa"/>
              <w:left w:w="120" w:type="dxa"/>
              <w:right w:w="120" w:type="dxa"/>
            </w:tcMar>
            <w:tcW w:w="7560" w:type="dxa"/>
          </w:tcPr>
          <w:p>
            <w:r>
              <w:rPr>
                <w:rFonts w:ascii="Arial" w:hAnsi="Arial"/>
                <w:b/>
                <w:color w:val="FFFFFF"/>
                <w:sz w:val="20"/>
              </w:rPr>
              <w:t>Usage</w:t>
            </w:r>
          </w:p>
        </w:tc>
      </w:tr>
      <w:tr>
        <w:tc>
          <w:tcPr>
            <w:tcW w:type="dxa" w:w="4824"/>
            <w:shd w:val="clear" w:color="auto" w:fill="F4F6F8"/>
            <w:tcMar>
              <w:top w:w="80" w:type="dxa"/>
              <w:bottom w:w="80" w:type="dxa"/>
              <w:left w:w="120" w:type="dxa"/>
              <w:right w:w="120" w:type="dxa"/>
            </w:tcMar>
            <w:tcW w:w="1800" w:type="dxa"/>
          </w:tcPr>
          <w:p>
            <w:r>
              <w:rPr>
                <w:rFonts w:ascii="Arial" w:hAnsi="Arial"/>
                <w:color w:val="4A5A6A"/>
                <w:sz w:val="20"/>
              </w:rPr>
              <w:t>utm_source</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Traffic source — google, meta, tiktok, email, affiliate, organic</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utm_medium</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Marketing channel — cpc, social, email, referral, display</w:t>
            </w:r>
          </w:p>
        </w:tc>
      </w:tr>
      <w:tr>
        <w:tc>
          <w:tcPr>
            <w:tcW w:type="dxa" w:w="4824"/>
            <w:shd w:val="clear" w:color="auto" w:fill="F4F6F8"/>
            <w:tcMar>
              <w:top w:w="80" w:type="dxa"/>
              <w:bottom w:w="80" w:type="dxa"/>
              <w:left w:w="120" w:type="dxa"/>
              <w:right w:w="120" w:type="dxa"/>
            </w:tcMar>
            <w:tcW w:w="1800" w:type="dxa"/>
          </w:tcPr>
          <w:p>
            <w:r>
              <w:rPr>
                <w:rFonts w:ascii="Arial" w:hAnsi="Arial"/>
                <w:color w:val="4A5A6A"/>
                <w:sz w:val="20"/>
              </w:rPr>
              <w:t>utm_campaign</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Campaign name — use consistent naming convention (e.g., glp1-prospecting-q1-2024)</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utm_content</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Ad creative identifier — enables creative-level performance analysis</w:t>
            </w:r>
          </w:p>
        </w:tc>
      </w:tr>
      <w:tr>
        <w:tc>
          <w:tcPr>
            <w:tcW w:type="dxa" w:w="4824"/>
            <w:shd w:val="clear" w:color="auto" w:fill="F4F6F8"/>
            <w:tcMar>
              <w:top w:w="80" w:type="dxa"/>
              <w:bottom w:w="80" w:type="dxa"/>
              <w:left w:w="120" w:type="dxa"/>
              <w:right w:w="120" w:type="dxa"/>
            </w:tcMar>
            <w:tcW w:w="1800" w:type="dxa"/>
          </w:tcPr>
          <w:p>
            <w:r>
              <w:rPr>
                <w:rFonts w:ascii="Arial" w:hAnsi="Arial"/>
                <w:color w:val="4A5A6A"/>
                <w:sz w:val="20"/>
              </w:rPr>
              <w:t>utm_term</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Keyword (paid search) or audience segment identifier</w:t>
            </w:r>
          </w:p>
        </w:tc>
      </w:tr>
    </w:tbl>
    <w:p/>
    <w:p>
      <w:pPr>
        <w:spacing w:before="200" w:after="60"/>
      </w:pPr>
      <w:r>
        <w:rPr>
          <w:rFonts w:ascii="Arial" w:hAnsi="Arial"/>
          <w:b/>
          <w:color w:val="00B5A3"/>
          <w:sz w:val="24"/>
        </w:rPr>
        <w:t>Attribution Model Options</w:t>
      </w:r>
    </w:p>
    <w:tbl>
      <w:tblPr>
        <w:tblStyle w:val="TableGrid"/>
        <w:tblW w:type="auto" w:w="0"/>
        <w:jc w:val="left"/>
        <w:tblLook w:firstColumn="1" w:firstRow="1" w:lastColumn="0" w:lastRow="0" w:noHBand="0" w:noVBand="1" w:val="04A0"/>
      </w:tblPr>
      <w:tblGrid>
        <w:gridCol w:w="3216"/>
        <w:gridCol w:w="3216"/>
        <w:gridCol w:w="3216"/>
      </w:tblGrid>
      <w:tr>
        <w:tc>
          <w:tcPr>
            <w:tcW w:type="dxa" w:w="3216"/>
            <w:shd w:val="clear" w:color="auto" w:fill="0A1F44"/>
            <w:tcMar>
              <w:top w:w="80" w:type="dxa"/>
              <w:bottom w:w="80" w:type="dxa"/>
              <w:left w:w="120" w:type="dxa"/>
              <w:right w:w="120" w:type="dxa"/>
            </w:tcMar>
            <w:tcW w:w="1800" w:type="dxa"/>
          </w:tcPr>
          <w:p>
            <w:r>
              <w:rPr>
                <w:rFonts w:ascii="Arial" w:hAnsi="Arial"/>
                <w:b/>
                <w:color w:val="FFFFFF"/>
                <w:sz w:val="20"/>
              </w:rPr>
              <w:t>Model</w:t>
            </w:r>
          </w:p>
        </w:tc>
        <w:tc>
          <w:tcPr>
            <w:tcW w:type="dxa" w:w="3216"/>
            <w:shd w:val="clear" w:color="auto" w:fill="0A1F44"/>
            <w:tcMar>
              <w:top w:w="80" w:type="dxa"/>
              <w:bottom w:w="80" w:type="dxa"/>
              <w:left w:w="120" w:type="dxa"/>
              <w:right w:w="120" w:type="dxa"/>
            </w:tcMar>
            <w:tcW w:w="4800" w:type="dxa"/>
          </w:tcPr>
          <w:p>
            <w:r>
              <w:rPr>
                <w:rFonts w:ascii="Arial" w:hAnsi="Arial"/>
                <w:b/>
                <w:color w:val="FFFFFF"/>
                <w:sz w:val="20"/>
              </w:rPr>
              <w:t>Description</w:t>
            </w:r>
          </w:p>
        </w:tc>
        <w:tc>
          <w:tcPr>
            <w:tcW w:type="dxa" w:w="3216"/>
            <w:shd w:val="clear" w:color="auto" w:fill="0A1F44"/>
            <w:tcMar>
              <w:top w:w="80" w:type="dxa"/>
              <w:bottom w:w="80" w:type="dxa"/>
              <w:left w:w="120" w:type="dxa"/>
              <w:right w:w="120" w:type="dxa"/>
            </w:tcMar>
            <w:tcW w:w="2760" w:type="dxa"/>
          </w:tcPr>
          <w:p>
            <w:r>
              <w:rPr>
                <w:rFonts w:ascii="Arial" w:hAnsi="Arial"/>
                <w:b/>
                <w:color w:val="FFFFFF"/>
                <w:sz w:val="20"/>
              </w:rPr>
              <w:t>Implementation</w:t>
            </w:r>
          </w:p>
        </w:tc>
      </w:tr>
      <w:tr>
        <w:tc>
          <w:tcPr>
            <w:tcW w:type="dxa" w:w="3216"/>
            <w:shd w:val="clear" w:color="auto" w:fill="F4F6F8"/>
            <w:tcMar>
              <w:top w:w="80" w:type="dxa"/>
              <w:bottom w:w="80" w:type="dxa"/>
              <w:left w:w="120" w:type="dxa"/>
              <w:right w:w="120" w:type="dxa"/>
            </w:tcMar>
            <w:tcW w:w="1800" w:type="dxa"/>
          </w:tcPr>
          <w:p>
            <w:r>
              <w:rPr>
                <w:rFonts w:ascii="Arial" w:hAnsi="Arial"/>
                <w:color w:val="4A5A6A"/>
                <w:sz w:val="20"/>
              </w:rPr>
              <w:t>Last-Touch (Default)</w:t>
            </w:r>
          </w:p>
        </w:tc>
        <w:tc>
          <w:tcPr>
            <w:tcW w:type="dxa" w:w="3216"/>
            <w:shd w:val="clear" w:color="auto" w:fill="F4F6F8"/>
            <w:tcMar>
              <w:top w:w="80" w:type="dxa"/>
              <w:bottom w:w="80" w:type="dxa"/>
              <w:left w:w="120" w:type="dxa"/>
              <w:right w:w="120" w:type="dxa"/>
            </w:tcMar>
            <w:tcW w:w="4800" w:type="dxa"/>
          </w:tcPr>
          <w:p>
            <w:r>
              <w:rPr>
                <w:rFonts w:ascii="Arial" w:hAnsi="Arial"/>
                <w:color w:val="4A5A6A"/>
                <w:sz w:val="20"/>
              </w:rPr>
              <w:t>100% credit to the last marketing touchpoint before conversion. Simplest to implement. Recommended for clients with single-channel paid strategies.</w:t>
            </w:r>
          </w:p>
        </w:tc>
        <w:tc>
          <w:tcPr>
            <w:tcW w:type="dxa" w:w="3216"/>
            <w:shd w:val="clear" w:color="auto" w:fill="F4F6F8"/>
            <w:tcMar>
              <w:top w:w="80" w:type="dxa"/>
              <w:bottom w:w="80" w:type="dxa"/>
              <w:left w:w="120" w:type="dxa"/>
              <w:right w:w="120" w:type="dxa"/>
            </w:tcMar>
            <w:tcW w:w="2760" w:type="dxa"/>
          </w:tcPr>
          <w:p>
            <w:r>
              <w:rPr>
                <w:rFonts w:ascii="Arial" w:hAnsi="Arial"/>
                <w:color w:val="4A5A6A"/>
                <w:sz w:val="20"/>
              </w:rPr>
              <w:t>Native in GA4 and ad platform dashboards.</w:t>
            </w:r>
          </w:p>
        </w:tc>
      </w:tr>
      <w:tr>
        <w:tc>
          <w:tcPr>
            <w:tcW w:type="dxa" w:w="3216"/>
            <w:shd w:val="clear" w:color="auto" w:fill="FFFFFF"/>
            <w:tcMar>
              <w:top w:w="80" w:type="dxa"/>
              <w:bottom w:w="80" w:type="dxa"/>
              <w:left w:w="120" w:type="dxa"/>
              <w:right w:w="120" w:type="dxa"/>
            </w:tcMar>
            <w:tcW w:w="1800" w:type="dxa"/>
          </w:tcPr>
          <w:p>
            <w:r>
              <w:rPr>
                <w:rFonts w:ascii="Arial" w:hAnsi="Arial"/>
                <w:color w:val="4A5A6A"/>
                <w:sz w:val="20"/>
              </w:rPr>
              <w:t>First-Touch</w:t>
            </w:r>
          </w:p>
        </w:tc>
        <w:tc>
          <w:tcPr>
            <w:tcW w:type="dxa" w:w="3216"/>
            <w:shd w:val="clear" w:color="auto" w:fill="FFFFFF"/>
            <w:tcMar>
              <w:top w:w="80" w:type="dxa"/>
              <w:bottom w:w="80" w:type="dxa"/>
              <w:left w:w="120" w:type="dxa"/>
              <w:right w:w="120" w:type="dxa"/>
            </w:tcMar>
            <w:tcW w:w="4800" w:type="dxa"/>
          </w:tcPr>
          <w:p>
            <w:r>
              <w:rPr>
                <w:rFonts w:ascii="Arial" w:hAnsi="Arial"/>
                <w:color w:val="4A5A6A"/>
                <w:sz w:val="20"/>
              </w:rPr>
              <w:t>100% credit to the first touchpoint. Useful for understanding initial patient acquisition drivers. Less useful for optimizing paid media.</w:t>
            </w:r>
          </w:p>
        </w:tc>
        <w:tc>
          <w:tcPr>
            <w:tcW w:type="dxa" w:w="3216"/>
            <w:shd w:val="clear" w:color="auto" w:fill="FFFFFF"/>
            <w:tcMar>
              <w:top w:w="80" w:type="dxa"/>
              <w:bottom w:w="80" w:type="dxa"/>
              <w:left w:w="120" w:type="dxa"/>
              <w:right w:w="120" w:type="dxa"/>
            </w:tcMar>
            <w:tcW w:w="2760" w:type="dxa"/>
          </w:tcPr>
          <w:p>
            <w:r>
              <w:rPr>
                <w:rFonts w:ascii="Arial" w:hAnsi="Arial"/>
                <w:color w:val="4A5A6A"/>
                <w:sz w:val="20"/>
              </w:rPr>
              <w:t>Configured in GA4 custom reports or BI tool.</w:t>
            </w:r>
          </w:p>
        </w:tc>
      </w:tr>
      <w:tr>
        <w:tc>
          <w:tcPr>
            <w:tcW w:type="dxa" w:w="3216"/>
            <w:shd w:val="clear" w:color="auto" w:fill="F4F6F8"/>
            <w:tcMar>
              <w:top w:w="80" w:type="dxa"/>
              <w:bottom w:w="80" w:type="dxa"/>
              <w:left w:w="120" w:type="dxa"/>
              <w:right w:w="120" w:type="dxa"/>
            </w:tcMar>
            <w:tcW w:w="1800" w:type="dxa"/>
          </w:tcPr>
          <w:p>
            <w:r>
              <w:rPr>
                <w:rFonts w:ascii="Arial" w:hAnsi="Arial"/>
                <w:color w:val="4A5A6A"/>
                <w:sz w:val="20"/>
              </w:rPr>
              <w:t>Linear Multi-Touch</w:t>
            </w:r>
          </w:p>
        </w:tc>
        <w:tc>
          <w:tcPr>
            <w:tcW w:type="dxa" w:w="3216"/>
            <w:shd w:val="clear" w:color="auto" w:fill="F4F6F8"/>
            <w:tcMar>
              <w:top w:w="80" w:type="dxa"/>
              <w:bottom w:w="80" w:type="dxa"/>
              <w:left w:w="120" w:type="dxa"/>
              <w:right w:w="120" w:type="dxa"/>
            </w:tcMar>
            <w:tcW w:w="4800" w:type="dxa"/>
          </w:tcPr>
          <w:p>
            <w:r>
              <w:rPr>
                <w:rFonts w:ascii="Arial" w:hAnsi="Arial"/>
                <w:color w:val="4A5A6A"/>
                <w:sz w:val="20"/>
              </w:rPr>
              <w:t>Equal credit distributed across all touchpoints in the conversion path. Better represents the patient journey in multi-channel strategies.</w:t>
            </w:r>
          </w:p>
        </w:tc>
        <w:tc>
          <w:tcPr>
            <w:tcW w:type="dxa" w:w="3216"/>
            <w:shd w:val="clear" w:color="auto" w:fill="F4F6F8"/>
            <w:tcMar>
              <w:top w:w="80" w:type="dxa"/>
              <w:bottom w:w="80" w:type="dxa"/>
              <w:left w:w="120" w:type="dxa"/>
              <w:right w:w="120" w:type="dxa"/>
            </w:tcMar>
            <w:tcW w:w="2760" w:type="dxa"/>
          </w:tcPr>
          <w:p>
            <w:r>
              <w:rPr>
                <w:rFonts w:ascii="Arial" w:hAnsi="Arial"/>
                <w:color w:val="4A5A6A"/>
                <w:sz w:val="20"/>
              </w:rPr>
              <w:t>Requires GA4 data export to BigQuery or third-party attribution tool.</w:t>
            </w:r>
          </w:p>
        </w:tc>
      </w:tr>
      <w:tr>
        <w:tc>
          <w:tcPr>
            <w:tcW w:type="dxa" w:w="3216"/>
            <w:shd w:val="clear" w:color="auto" w:fill="FFFFFF"/>
            <w:tcMar>
              <w:top w:w="80" w:type="dxa"/>
              <w:bottom w:w="80" w:type="dxa"/>
              <w:left w:w="120" w:type="dxa"/>
              <w:right w:w="120" w:type="dxa"/>
            </w:tcMar>
            <w:tcW w:w="1800" w:type="dxa"/>
          </w:tcPr>
          <w:p>
            <w:r>
              <w:rPr>
                <w:rFonts w:ascii="Arial" w:hAnsi="Arial"/>
                <w:color w:val="4A5A6A"/>
                <w:sz w:val="20"/>
              </w:rPr>
              <w:t>Data-Driven (Recommended for scale)</w:t>
            </w:r>
          </w:p>
        </w:tc>
        <w:tc>
          <w:tcPr>
            <w:tcW w:type="dxa" w:w="3216"/>
            <w:shd w:val="clear" w:color="auto" w:fill="FFFFFF"/>
            <w:tcMar>
              <w:top w:w="80" w:type="dxa"/>
              <w:bottom w:w="80" w:type="dxa"/>
              <w:left w:w="120" w:type="dxa"/>
              <w:right w:w="120" w:type="dxa"/>
            </w:tcMar>
            <w:tcW w:w="4800" w:type="dxa"/>
          </w:tcPr>
          <w:p>
            <w:r>
              <w:rPr>
                <w:rFonts w:ascii="Arial" w:hAnsi="Arial"/>
                <w:color w:val="4A5A6A"/>
                <w:sz w:val="20"/>
              </w:rPr>
              <w:t>ML-based attribution using actual conversion path data. Most accurate for mature programs with sufficient conversion volume (&gt;300 conversions/month). Best practice for GLP-1 programs with long consideration cycles.</w:t>
            </w:r>
          </w:p>
        </w:tc>
        <w:tc>
          <w:tcPr>
            <w:tcW w:type="dxa" w:w="3216"/>
            <w:shd w:val="clear" w:color="auto" w:fill="FFFFFF"/>
            <w:tcMar>
              <w:top w:w="80" w:type="dxa"/>
              <w:bottom w:w="80" w:type="dxa"/>
              <w:left w:w="120" w:type="dxa"/>
              <w:right w:w="120" w:type="dxa"/>
            </w:tcMar>
            <w:tcW w:w="2760" w:type="dxa"/>
          </w:tcPr>
          <w:p>
            <w:r>
              <w:rPr>
                <w:rFonts w:ascii="Arial" w:hAnsi="Arial"/>
                <w:color w:val="4A5A6A"/>
                <w:sz w:val="20"/>
              </w:rPr>
              <w:t>GA4 native (requires 300+ conversions/month). Or Northbeam/Triple Whale for ecomm-style attribution.</w:t>
            </w:r>
          </w:p>
        </w:tc>
      </w:tr>
    </w:tbl>
    <w:p/>
    <w:tbl>
      <w:tblPr>
        <w:tblStyle w:val="TableGrid"/>
        <w:tblW w:type="auto" w:w="0"/>
        <w:tblLook w:firstColumn="1" w:firstRow="1" w:lastColumn="0" w:lastRow="0" w:noHBand="0" w:noVBand="1" w:val="04A0"/>
      </w:tblPr>
      <w:tblGrid>
        <w:gridCol w:w="9648"/>
      </w:tblGrid>
      <w:tr>
        <w:tc>
          <w:tcPr>
            <w:tcW w:type="dxa" w:w="9648"/>
            <w:shd w:val="clear" w:color="auto" w:fill="E8F7F6"/>
            <w:tcMar>
              <w:top w:w="120" w:type="dxa"/>
              <w:bottom w:w="120" w:type="dxa"/>
              <w:left w:w="160" w:type="dxa"/>
              <w:right w:w="160" w:type="dxa"/>
            </w:tcMar>
            <w:tcW w:w="9360" w:type="dxa"/>
          </w:tcPr>
          <w:p>
            <w:r>
              <w:rPr>
                <w:rFonts w:ascii="Arial" w:hAnsi="Arial"/>
                <w:color w:val="0A1F44"/>
                <w:sz w:val="22"/>
              </w:rPr>
              <w:t>📊  RECOMMENDATION: Start with Last-Touch attribution + UTM tracking for all clients at launch. Once conversion volume exceeds 300/month, migrate to Data-Driven attribution in GA4 or implement a third-party MTA tool (Northbeam, Triple Whale, or Rockerbox). Do not implement multi-touch attribution before you have sufficient volume — the models will produce unreliable outputs.</w:t>
            </w:r>
          </w:p>
        </w:tc>
      </w:tr>
    </w:tbl>
    <w:p/>
    <w:p>
      <w:pPr>
        <w:spacing w:before="120" w:after="120"/>
        <w:pBdr>
          <w:bottom w:val="single" w:sz="4" w:space="1" w:color="E2E8F0"/>
        </w:pBdr>
      </w:pPr>
    </w:p>
    <w:p>
      <w:pPr>
        <w:spacing w:before="280" w:after="80"/>
      </w:pPr>
      <w:r>
        <w:rPr>
          <w:rFonts w:ascii="Arial" w:hAnsi="Arial"/>
          <w:b/>
          <w:color w:val="0A1F44"/>
          <w:sz w:val="28"/>
        </w:rPr>
        <w:t>5.3  Affiliate Network Integration</w:t>
      </w:r>
    </w:p>
    <w:p>
      <w:pPr>
        <w:spacing w:before="0" w:after="120"/>
        <w:jc w:val="left"/>
      </w:pPr>
      <w:r>
        <w:rPr>
          <w:rFonts w:ascii="Arial" w:hAnsi="Arial"/>
          <w:b w:val="0"/>
          <w:i w:val="0"/>
          <w:color w:val="4A5A6A"/>
          <w:sz w:val="22"/>
        </w:rPr>
        <w:t>Affiliate marketing is one of the highest-ROI patient acquisition channels for telehealth brands — particularly for GLP-1, ED, and longevity programs where influencer and health content publishers drive significant organic demand. Cloud Health supports integration with all major affiliate platforms.</w:t>
      </w:r>
    </w:p>
    <w:p>
      <w:pPr>
        <w:spacing w:before="200" w:after="60"/>
      </w:pPr>
      <w:r>
        <w:rPr>
          <w:rFonts w:ascii="Arial" w:hAnsi="Arial"/>
          <w:b/>
          <w:color w:val="00B5A3"/>
          <w:sz w:val="24"/>
        </w:rPr>
        <w:t>Recommended Affiliate Networks</w:t>
      </w:r>
    </w:p>
    <w:p>
      <w:pPr>
        <w:spacing w:before="200" w:after="60"/>
      </w:pPr>
      <w:r>
        <w:rPr>
          <w:rFonts w:ascii="Arial" w:hAnsi="Arial"/>
          <w:b/>
          <w:color w:val="00B5A3"/>
          <w:sz w:val="24"/>
        </w:rPr>
        <w:t>Impact (formerly Impact Radius)</w:t>
      </w:r>
    </w:p>
    <w:p>
      <w:r>
        <w:rPr>
          <w:rFonts w:ascii="Arial" w:hAnsi="Arial"/>
          <w:b/>
          <w:color w:val="0A1F44"/>
          <w:sz w:val="22"/>
        </w:rPr>
        <w:t xml:space="preserve">Best For: </w:t>
      </w:r>
      <w:r>
        <w:rPr>
          <w:rFonts w:ascii="Arial" w:hAnsi="Arial"/>
          <w:i/>
          <w:color w:val="4A5A6A"/>
          <w:sz w:val="22"/>
        </w:rPr>
        <w:t>GLP-1, ED, longevity programs with a performance-first growth strategy</w:t>
      </w:r>
    </w:p>
    <w:p>
      <w:pPr>
        <w:ind w:left="288"/>
      </w:pPr>
      <w:r>
        <w:rPr>
          <w:rFonts w:ascii="Arial" w:hAnsi="Arial"/>
          <w:b/>
          <w:color w:val="00B5A3"/>
          <w:sz w:val="22"/>
        </w:rPr>
        <w:t xml:space="preserve">① Best-in-class fraud detection &amp; compliance:  </w:t>
      </w:r>
      <w:r>
        <w:rPr>
          <w:rFonts w:ascii="Arial" w:hAnsi="Arial"/>
          <w:color w:val="4A5A6A"/>
          <w:sz w:val="22"/>
        </w:rPr>
        <w:t>Impact's compliance tooling includes real-time brand safety monitoring and LegitScript-compatible publisher vetting — critical for telehealth advertisers. Fraudulent clicks and non-compliant health publishers can be blocked automatically, protecting both ad spend and regulatory standing.</w:t>
      </w:r>
    </w:p>
    <w:p>
      <w:pPr>
        <w:ind w:left="288"/>
      </w:pPr>
      <w:r>
        <w:rPr>
          <w:rFonts w:ascii="Arial" w:hAnsi="Arial"/>
          <w:b/>
          <w:color w:val="00B5A3"/>
          <w:sz w:val="22"/>
        </w:rPr>
        <w:t xml:space="preserve">② Server-to-server (S2S) tracking accuracy:  </w:t>
      </w:r>
      <w:r>
        <w:rPr>
          <w:rFonts w:ascii="Arial" w:hAnsi="Arial"/>
          <w:color w:val="4A5A6A"/>
          <w:sz w:val="22"/>
        </w:rPr>
        <w:t>Impact's S2S tracking integration with Cloud Health's backend ensures accurate conversion attribution even after iOS 14+ cookie restrictions. Affiliates are credited precisely when a subscription activates — not just when a page is visited — reducing payout disputes and improving publisher trust.</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1800" w:type="dxa"/>
          </w:tcPr>
          <w:p>
            <w:r>
              <w:rPr>
                <w:rFonts w:ascii="Arial" w:hAnsi="Arial"/>
                <w:color w:val="4A5A6A"/>
                <w:sz w:val="20"/>
              </w:rPr>
              <w:t>Setup Requirements</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Impact Marketplace account + Cloud Health S2S postback URL. Setup time: 2–3 business days.</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Fee Structure</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Standard: 3% of managed spend + monthly platform fee (~$500/mo). Enterprise contracts negotiable at $30K+ annual managed spend.</w:t>
            </w:r>
          </w:p>
        </w:tc>
      </w:tr>
    </w:tbl>
    <w:p/>
    <w:p>
      <w:pPr>
        <w:spacing w:before="200" w:after="60"/>
      </w:pPr>
      <w:r>
        <w:rPr>
          <w:rFonts w:ascii="Arial" w:hAnsi="Arial"/>
          <w:b/>
          <w:color w:val="00B5A3"/>
          <w:sz w:val="24"/>
        </w:rPr>
        <w:t>ShareASale (now Awin)</w:t>
      </w:r>
    </w:p>
    <w:p>
      <w:r>
        <w:rPr>
          <w:rFonts w:ascii="Arial" w:hAnsi="Arial"/>
          <w:b/>
          <w:color w:val="0A1F44"/>
          <w:sz w:val="22"/>
        </w:rPr>
        <w:t xml:space="preserve">Best For: </w:t>
      </w:r>
      <w:r>
        <w:rPr>
          <w:rFonts w:ascii="Arial" w:hAnsi="Arial"/>
          <w:i/>
          <w:color w:val="4A5A6A"/>
          <w:sz w:val="22"/>
        </w:rPr>
        <w:t>Brands new to affiliate marketing seeking access to a large, pre-vetted publisher network</w:t>
      </w:r>
    </w:p>
    <w:p>
      <w:pPr>
        <w:ind w:left="288"/>
      </w:pPr>
      <w:r>
        <w:rPr>
          <w:rFonts w:ascii="Arial" w:hAnsi="Arial"/>
          <w:b/>
          <w:color w:val="00B5A3"/>
          <w:sz w:val="22"/>
        </w:rPr>
        <w:t xml:space="preserve">① Largest health &amp; wellness publisher marketplace:  </w:t>
      </w:r>
      <w:r>
        <w:rPr>
          <w:rFonts w:ascii="Arial" w:hAnsi="Arial"/>
          <w:color w:val="4A5A6A"/>
          <w:sz w:val="22"/>
        </w:rPr>
        <w:t>ShareASale/Awin has the broadest network of health, wellness, and lifestyle publishers — including mommy bloggers, fitness influencers, and health content sites that drive high-intent GLP-1 and women's health traffic. Access to 250,000+ affiliates means faster ramp-up without needing a dedicated affiliate manager to recruit manually.</w:t>
      </w:r>
    </w:p>
    <w:p>
      <w:pPr>
        <w:ind w:left="288"/>
      </w:pPr>
      <w:r>
        <w:rPr>
          <w:rFonts w:ascii="Arial" w:hAnsi="Arial"/>
          <w:b/>
          <w:color w:val="00B5A3"/>
          <w:sz w:val="22"/>
        </w:rPr>
        <w:t xml:space="preserve">② Flat-fee cost model at early stage:  </w:t>
      </w:r>
      <w:r>
        <w:rPr>
          <w:rFonts w:ascii="Arial" w:hAnsi="Arial"/>
          <w:color w:val="4A5A6A"/>
          <w:sz w:val="22"/>
        </w:rPr>
        <w:t>Unlike percentage-of-revenue platforms, ShareASale charges a flat monthly network access fee (~$35/month) plus a one-time setup fee (~$625). For brands in the early scaling phase (sub-$50K/month in affiliate revenue), this is meaningfully more cost-effective than percentage-based platforms. Makes sense as a second-network complement to Impact.</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1800" w:type="dxa"/>
          </w:tcPr>
          <w:p>
            <w:r>
              <w:rPr>
                <w:rFonts w:ascii="Arial" w:hAnsi="Arial"/>
                <w:color w:val="4A5A6A"/>
                <w:sz w:val="20"/>
              </w:rPr>
              <w:t>Setup Requirements</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ShareASale merchant account + Cloud Health pixel/postback. Setup time: 3–5 business days.</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Fee Structure</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$625 one-time setup + $35/month + 20% of affiliate payouts as network fee.</w:t>
            </w:r>
          </w:p>
        </w:tc>
      </w:tr>
    </w:tbl>
    <w:p/>
    <w:p>
      <w:pPr>
        <w:spacing w:before="200" w:after="60"/>
      </w:pPr>
      <w:r>
        <w:rPr>
          <w:rFonts w:ascii="Arial" w:hAnsi="Arial"/>
          <w:b/>
          <w:color w:val="00B5A3"/>
          <w:sz w:val="24"/>
        </w:rPr>
        <w:t>PartnerStack</w:t>
      </w:r>
    </w:p>
    <w:p>
      <w:r>
        <w:rPr>
          <w:rFonts w:ascii="Arial" w:hAnsi="Arial"/>
          <w:b/>
          <w:color w:val="0A1F44"/>
          <w:sz w:val="22"/>
        </w:rPr>
        <w:t xml:space="preserve">Best For: </w:t>
      </w:r>
      <w:r>
        <w:rPr>
          <w:rFonts w:ascii="Arial" w:hAnsi="Arial"/>
          <w:i/>
          <w:color w:val="4A5A6A"/>
          <w:sz w:val="22"/>
        </w:rPr>
        <w:t>Cloud Health's own B2B operator/brand partner referral channel (not patient acquisition)</w:t>
      </w:r>
    </w:p>
    <w:p>
      <w:pPr>
        <w:ind w:left="288"/>
      </w:pPr>
      <w:r>
        <w:rPr>
          <w:rFonts w:ascii="Arial" w:hAnsi="Arial"/>
          <w:b/>
          <w:color w:val="00B5A3"/>
          <w:sz w:val="22"/>
        </w:rPr>
        <w:t xml:space="preserve">① Built for B2B SaaS referral programs:  </w:t>
      </w:r>
      <w:r>
        <w:rPr>
          <w:rFonts w:ascii="Arial" w:hAnsi="Arial"/>
          <w:color w:val="4A5A6A"/>
          <w:sz w:val="22"/>
        </w:rPr>
        <w:t>PartnerStack is the leading platform for SaaS companies running partner and referral programs. For Cloud Health's own business, PartnerStack enables existing operator partners to refer new operators and earn revenue share — a high-trust acquisition channel given the specialized nature of the telehealth infrastructure market. For Cloud Health clients with a B2B component (e.g., a telehealth operator that also white-labels to sub-operators), PartnerStack is the right tool.</w:t>
      </w:r>
    </w:p>
    <w:p>
      <w:pPr>
        <w:ind w:left="288"/>
      </w:pPr>
      <w:r>
        <w:rPr>
          <w:rFonts w:ascii="Arial" w:hAnsi="Arial"/>
          <w:b/>
          <w:color w:val="00B5A3"/>
          <w:sz w:val="22"/>
        </w:rPr>
        <w:t xml:space="preserve">② Native referral tracking with lifecycle attribution:  </w:t>
      </w:r>
      <w:r>
        <w:rPr>
          <w:rFonts w:ascii="Arial" w:hAnsi="Arial"/>
          <w:color w:val="4A5A6A"/>
          <w:sz w:val="22"/>
        </w:rPr>
        <w:t>PartnerStack tracks referrals from initial click through trial, activation, and first payment — and manages recurring commissions for subscription products automatically. No manual commission calculations. Ideal for telehealth programs with monthly subscription models where affiliates earn recurring revenue on active patients.</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1800" w:type="dxa"/>
          </w:tcPr>
          <w:p>
            <w:r>
              <w:rPr>
                <w:rFonts w:ascii="Arial" w:hAnsi="Arial"/>
                <w:color w:val="4A5A6A"/>
                <w:sz w:val="20"/>
              </w:rPr>
              <w:t>Setup Requirements</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PartnerStack account + API integration with Cloud Health subscription billing. Setup time: 3–5 business days.</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Fee Structure</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Starting at $500/month. Enterprise tier for high-volume programs.</w:t>
            </w:r>
          </w:p>
        </w:tc>
      </w:tr>
    </w:tbl>
    <w:p/>
    <w:p>
      <w:pPr>
        <w:spacing w:before="200" w:after="60"/>
      </w:pPr>
      <w:r>
        <w:rPr>
          <w:rFonts w:ascii="Arial" w:hAnsi="Arial"/>
          <w:b/>
          <w:color w:val="00B5A3"/>
          <w:sz w:val="24"/>
        </w:rPr>
        <w:t>Commission Junction (CJ)</w:t>
      </w:r>
    </w:p>
    <w:p>
      <w:r>
        <w:rPr>
          <w:rFonts w:ascii="Arial" w:hAnsi="Arial"/>
          <w:b/>
          <w:color w:val="0A1F44"/>
          <w:sz w:val="22"/>
        </w:rPr>
        <w:t xml:space="preserve">Best For: </w:t>
      </w:r>
      <w:r>
        <w:rPr>
          <w:rFonts w:ascii="Arial" w:hAnsi="Arial"/>
          <w:i/>
          <w:color w:val="4A5A6A"/>
          <w:sz w:val="22"/>
        </w:rPr>
        <w:t>Premium health &amp; wellness publishers; high-AOV longevity and anti-aging programs</w:t>
      </w:r>
    </w:p>
    <w:p>
      <w:pPr>
        <w:ind w:left="288"/>
      </w:pPr>
      <w:r>
        <w:rPr>
          <w:rFonts w:ascii="Arial" w:hAnsi="Arial"/>
          <w:b/>
          <w:color w:val="00B5A3"/>
          <w:sz w:val="22"/>
        </w:rPr>
        <w:t xml:space="preserve">① Premium publisher network with health media scale:  </w:t>
      </w:r>
      <w:r>
        <w:rPr>
          <w:rFonts w:ascii="Arial" w:hAnsi="Arial"/>
          <w:color w:val="4A5A6A"/>
          <w:sz w:val="22"/>
        </w:rPr>
        <w:t>CJ has relationships with premium health and wellness media properties — WebMD adjacents, health-focused editorial sites, and large email newsletter publishers in the health space. For longevity, anti-aging, and premium GLP-1 programs targeting an affluent demographic (HHI $100K+), CJ's publisher quality significantly outperforms volume-focused networks. Less useful for mass-market ED programs.</w:t>
      </w:r>
    </w:p>
    <w:p>
      <w:pPr>
        <w:ind w:left="288"/>
      </w:pPr>
      <w:r>
        <w:rPr>
          <w:rFonts w:ascii="Arial" w:hAnsi="Arial"/>
          <w:b/>
          <w:color w:val="00B5A3"/>
          <w:sz w:val="22"/>
        </w:rPr>
        <w:t xml:space="preserve">② Longer cookie windows and deep analytics:  </w:t>
      </w:r>
      <w:r>
        <w:rPr>
          <w:rFonts w:ascii="Arial" w:hAnsi="Arial"/>
          <w:color w:val="4A5A6A"/>
          <w:sz w:val="22"/>
        </w:rPr>
        <w:t>CJ's default cookie window is 30–45 days (vs. 7–14 days on some networks) — meaningful for telehealth programs where the consideration cycle between first click and subscription activation can span weeks. CJ's analytics dashboard provides click-level attribution data that integrates cleanly with Cloud Health's UTM framework for multi-touch analysis.</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1800" w:type="dxa"/>
          </w:tcPr>
          <w:p>
            <w:r>
              <w:rPr>
                <w:rFonts w:ascii="Arial" w:hAnsi="Arial"/>
                <w:color w:val="4A5A6A"/>
                <w:sz w:val="20"/>
              </w:rPr>
              <w:t>Setup Requirements</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CJ advertiser account + Cloud Health conversion pixel. Setup time: 5–7 business days.</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Fee Structure</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$3,000 initial deposit (held as publisher payouts) + $500/month platform fee.</w:t>
            </w:r>
          </w:p>
        </w:tc>
      </w:tr>
    </w:tbl>
    <w:p/>
    <w:p>
      <w:pPr>
        <w:spacing w:before="200" w:after="60"/>
      </w:pPr>
      <w:r>
        <w:rPr>
          <w:rFonts w:ascii="Arial" w:hAnsi="Arial"/>
          <w:b/>
          <w:color w:val="00B5A3"/>
          <w:sz w:val="24"/>
        </w:rPr>
        <w:t>Rakuten Advertising</w:t>
      </w:r>
    </w:p>
    <w:p>
      <w:r>
        <w:rPr>
          <w:rFonts w:ascii="Arial" w:hAnsi="Arial"/>
          <w:b/>
          <w:color w:val="0A1F44"/>
          <w:sz w:val="22"/>
        </w:rPr>
        <w:t xml:space="preserve">Best For: </w:t>
      </w:r>
      <w:r>
        <w:rPr>
          <w:rFonts w:ascii="Arial" w:hAnsi="Arial"/>
          <w:i/>
          <w:color w:val="4A5A6A"/>
          <w:sz w:val="22"/>
        </w:rPr>
        <w:t>Luxury health, longevity, and premium anti-aging brands; quality-over-quantity affiliate strategy</w:t>
      </w:r>
    </w:p>
    <w:p>
      <w:pPr>
        <w:ind w:left="288"/>
      </w:pPr>
      <w:r>
        <w:rPr>
          <w:rFonts w:ascii="Arial" w:hAnsi="Arial"/>
          <w:b/>
          <w:color w:val="00B5A3"/>
          <w:sz w:val="22"/>
        </w:rPr>
        <w:t xml:space="preserve">① Premium, curated publisher relationships:  </w:t>
      </w:r>
      <w:r>
        <w:rPr>
          <w:rFonts w:ascii="Arial" w:hAnsi="Arial"/>
          <w:color w:val="4A5A6A"/>
          <w:sz w:val="22"/>
        </w:rPr>
        <w:t>Rakuten operates on an invitation-only publisher model — meaning publishers are vetted and brands get direct access to quality relationships rather than sifting through thousands of low-quality affiliates. For Cloud Health clients in the longevity, NAD+, peptide, or high-ticket anti-aging space, Rakuten's publisher roster aligns better with premium buyer demographics than open-marketplace networks.</w:t>
      </w:r>
    </w:p>
    <w:p>
      <w:pPr>
        <w:ind w:left="288"/>
      </w:pPr>
      <w:r>
        <w:rPr>
          <w:rFonts w:ascii="Arial" w:hAnsi="Arial"/>
          <w:b/>
          <w:color w:val="00B5A3"/>
          <w:sz w:val="22"/>
        </w:rPr>
        <w:t xml:space="preserve">② Higher AOV, lower volume — a fit for premium programs:  </w:t>
      </w:r>
      <w:r>
        <w:rPr>
          <w:rFonts w:ascii="Arial" w:hAnsi="Arial"/>
          <w:color w:val="4A5A6A"/>
          <w:sz w:val="22"/>
        </w:rPr>
        <w:t>Rakuten consistently delivers higher average order values at lower click volumes compared to mass-market affiliate networks. For GLP-1 programs with $200+/month subscription values or longevity protocols in the $300–600/month range, Rakuten's publisher economics often outperform on a revenue-per-click basis. Best evaluated alongside CJ, not as a replacement.</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1800" w:type="dxa"/>
          </w:tcPr>
          <w:p>
            <w:r>
              <w:rPr>
                <w:rFonts w:ascii="Arial" w:hAnsi="Arial"/>
                <w:color w:val="4A5A6A"/>
                <w:sz w:val="20"/>
              </w:rPr>
              <w:t>Setup Requirements</w:t>
            </w:r>
          </w:p>
        </w:tc>
        <w:tc>
          <w:tcPr>
            <w:tcW w:type="dxa" w:w="4824"/>
            <w:shd w:val="clear" w:color="auto" w:fill="F4F6F8"/>
            <w:tcMar>
              <w:top w:w="80" w:type="dxa"/>
              <w:bottom w:w="80" w:type="dxa"/>
              <w:left w:w="120" w:type="dxa"/>
              <w:right w:w="120" w:type="dxa"/>
            </w:tcMar>
            <w:tcW w:w="7560" w:type="dxa"/>
          </w:tcPr>
          <w:p>
            <w:r>
              <w:rPr>
                <w:rFonts w:ascii="Arial" w:hAnsi="Arial"/>
                <w:color w:val="4A5A6A"/>
                <w:sz w:val="20"/>
              </w:rPr>
              <w:t>Rakuten advertiser account + Cloud Health conversion tag. Setup time: 7–10 business days (includes publisher network review).</w:t>
            </w:r>
          </w:p>
        </w:tc>
      </w:tr>
      <w:tr>
        <w:tc>
          <w:tcPr>
            <w:tcW w:type="dxa" w:w="4824"/>
            <w:shd w:val="clear" w:color="auto" w:fill="FFFFFF"/>
            <w:tcMar>
              <w:top w:w="80" w:type="dxa"/>
              <w:bottom w:w="80" w:type="dxa"/>
              <w:left w:w="120" w:type="dxa"/>
              <w:right w:w="120" w:type="dxa"/>
            </w:tcMar>
            <w:tcW w:w="1800" w:type="dxa"/>
          </w:tcPr>
          <w:p>
            <w:r>
              <w:rPr>
                <w:rFonts w:ascii="Arial" w:hAnsi="Arial"/>
                <w:color w:val="4A5A6A"/>
                <w:sz w:val="20"/>
              </w:rPr>
              <w:t>Fee Structure</w:t>
            </w:r>
          </w:p>
        </w:tc>
        <w:tc>
          <w:tcPr>
            <w:tcW w:type="dxa" w:w="4824"/>
            <w:shd w:val="clear" w:color="auto" w:fill="FFFFFF"/>
            <w:tcMar>
              <w:top w:w="80" w:type="dxa"/>
              <w:bottom w:w="80" w:type="dxa"/>
              <w:left w:w="120" w:type="dxa"/>
              <w:right w:w="120" w:type="dxa"/>
            </w:tcMar>
            <w:tcW w:w="7560" w:type="dxa"/>
          </w:tcPr>
          <w:p>
            <w:r>
              <w:rPr>
                <w:rFonts w:ascii="Arial" w:hAnsi="Arial"/>
                <w:color w:val="4A5A6A"/>
                <w:sz w:val="20"/>
              </w:rPr>
              <w:t>Custom pricing based on program scope. Minimum engagement: ~$2,000/month combined platform + management.</w:t>
            </w:r>
          </w:p>
        </w:tc>
      </w:tr>
    </w:tbl>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6 — Go-Live Checklist</w:t>
      </w:r>
    </w:p>
    <w:p>
      <w:pPr>
        <w:spacing w:before="0" w:after="120"/>
        <w:jc w:val="left"/>
      </w:pPr>
      <w:r>
        <w:rPr>
          <w:rFonts w:ascii="Arial" w:hAnsi="Arial"/>
          <w:b w:val="0"/>
          <w:i w:val="0"/>
          <w:color w:val="4A5A6A"/>
          <w:sz w:val="22"/>
        </w:rPr>
        <w:t>The following items must be confirmed complete before Cloud Health approves go-live. PSM reviews this checklist with the client on Day 12 of onboarding. Outstanding items trigger a go-live delay notification.</w:t>
      </w:r>
    </w:p>
    <w:p>
      <w:pPr>
        <w:spacing w:before="280" w:after="80"/>
      </w:pPr>
      <w:r>
        <w:rPr>
          <w:rFonts w:ascii="Arial" w:hAnsi="Arial"/>
          <w:b/>
          <w:color w:val="0A1F44"/>
          <w:sz w:val="28"/>
        </w:rPr>
        <w:t>Frontend</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LegitScript certification active and on file</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Frontend design approved and staged (client or Cloud Health hosted)</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Intake/quiz flow tested end-to-end with test patient</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Checkout tested with test transaction (Stripe test mode)</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Payment provider live credentials loaded (not test keys)</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SSL certificate active on all patient-facing pages</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Privacy Policy, Terms of Service, and Telehealth Consent pages live</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HIPAA Notice of Privacy Practices displayed at intake</w:t>
            </w:r>
          </w:p>
        </w:tc>
      </w:tr>
    </w:tbl>
    <w:p/>
    <w:p>
      <w:pPr>
        <w:spacing w:before="280" w:after="80"/>
      </w:pPr>
      <w:r>
        <w:rPr>
          <w:rFonts w:ascii="Arial" w:hAnsi="Arial"/>
          <w:b/>
          <w:color w:val="0A1F44"/>
          <w:sz w:val="28"/>
        </w:rPr>
        <w:t>Backend</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Doctor group credentialed and loaded in prescribing console</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All assigned pharmacies connected and test orders sent successfully</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Medication list finalized and loaded by pharmacy</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Doctor group protocols reviewed and approved by client medical lead</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Pharmacy technician access provisioned (client or Cloud Health managed)</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Prescription routing logic tested (correct medication → correct pharmacy)</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Refill request workflow tested</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Prior authorization workflow tested (if applicable)</w:t>
            </w:r>
          </w:p>
        </w:tc>
      </w:tr>
    </w:tbl>
    <w:p/>
    <w:p>
      <w:pPr>
        <w:spacing w:before="280" w:after="80"/>
      </w:pPr>
      <w:r>
        <w:rPr>
          <w:rFonts w:ascii="Arial" w:hAnsi="Arial"/>
          <w:b/>
          <w:color w:val="0A1F44"/>
          <w:sz w:val="28"/>
        </w:rPr>
        <w:t>Operations &amp; CX</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CX system integration tested (order status webhooks firing correctly)</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Clinical escalation protocol documented and distributed to CX team</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HIPAA training completed by all CX team members handling patient data</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Refund and cancellation policy documented and loaded in CX helpdesk</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Shipping notification emails tested (sent from client-branded domain)</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Patient portal access tested (login, prescription history, refill request)</w:t>
            </w:r>
          </w:p>
        </w:tc>
      </w:tr>
    </w:tbl>
    <w:p/>
    <w:p>
      <w:pPr>
        <w:spacing w:before="280" w:after="80"/>
      </w:pPr>
      <w:r>
        <w:rPr>
          <w:rFonts w:ascii="Arial" w:hAnsi="Arial"/>
          <w:b/>
          <w:color w:val="0A1F44"/>
          <w:sz w:val="28"/>
        </w:rPr>
        <w:t>Marketing &amp; Tracking</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GA4 tracking verified (intake start, checkout complete, subscription activate events firing)</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Meta Pixel + CAPI verified (purchase events firing server-side)</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Google Ads conversion tracking verified</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UTM framework applied to all ad campaign URLs</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Attribution model selected and documented</w:t>
            </w:r>
          </w:p>
        </w:tc>
      </w:tr>
      <w:tr>
        <w:tc>
          <w:tcPr>
            <w:tcW w:type="dxa" w:w="4824"/>
            <w:shd w:val="clear" w:color="auto" w:fill="FFFFFF"/>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FFFFF"/>
            <w:tcMar>
              <w:top w:w="80" w:type="dxa"/>
              <w:bottom w:w="80" w:type="dxa"/>
              <w:left w:w="120" w:type="dxa"/>
              <w:right w:w="120" w:type="dxa"/>
            </w:tcMar>
            <w:tcW w:w="8880" w:type="dxa"/>
          </w:tcPr>
          <w:p>
            <w:r>
              <w:rPr>
                <w:rFonts w:ascii="Arial" w:hAnsi="Arial"/>
                <w:color w:val="4A5A6A"/>
                <w:sz w:val="20"/>
              </w:rPr>
              <w:t>Affiliate network(s) live with conversion postback tested</w:t>
            </w:r>
          </w:p>
        </w:tc>
      </w:tr>
      <w:tr>
        <w:tc>
          <w:tcPr>
            <w:tcW w:type="dxa" w:w="4824"/>
            <w:shd w:val="clear" w:color="auto" w:fill="F4F6F8"/>
            <w:tcMar>
              <w:top w:w="80" w:type="dxa"/>
              <w:bottom w:w="80" w:type="dxa"/>
              <w:left w:w="120" w:type="dxa"/>
              <w:right w:w="120" w:type="dxa"/>
            </w:tcMar>
            <w:tcW w:w="360" w:type="dxa"/>
          </w:tcPr>
          <w:p>
            <w:r>
              <w:rPr>
                <w:rFonts w:ascii="Arial" w:hAnsi="Arial"/>
                <w:color w:val="4A5A6A"/>
                <w:sz w:val="20"/>
              </w:rPr>
              <w:t>☐</w:t>
            </w:r>
          </w:p>
        </w:tc>
        <w:tc>
          <w:tcPr>
            <w:tcW w:type="dxa" w:w="4824"/>
            <w:shd w:val="clear" w:color="auto" w:fill="F4F6F8"/>
            <w:tcMar>
              <w:top w:w="80" w:type="dxa"/>
              <w:bottom w:w="80" w:type="dxa"/>
              <w:left w:w="120" w:type="dxa"/>
              <w:right w:w="120" w:type="dxa"/>
            </w:tcMar>
            <w:tcW w:w="8880" w:type="dxa"/>
          </w:tcPr>
          <w:p>
            <w:r>
              <w:rPr>
                <w:rFonts w:ascii="Arial" w:hAnsi="Arial"/>
                <w:color w:val="4A5A6A"/>
                <w:sz w:val="20"/>
              </w:rPr>
              <w:t>LegitScript certification loaded in ad platform accounts</w:t>
            </w:r>
          </w:p>
        </w:tc>
      </w:tr>
    </w:tbl>
    <w:p/>
    <w:p>
      <w:pPr>
        <w:spacing w:before="120" w:after="120"/>
        <w:pBdr>
          <w:bottom w:val="single" w:sz="4" w:space="1" w:color="E2E8F0"/>
        </w:pBdr>
      </w:pPr>
    </w:p>
    <w:p>
      <w:r>
        <w:br w:type="page"/>
      </w:r>
    </w:p>
    <w:p>
      <w:pPr>
        <w:spacing w:before="360" w:after="80"/>
        <w:pBdr>
          <w:bottom w:val="single" w:sz="8" w:space="4" w:color="00B5A3"/>
        </w:pBdr>
      </w:pPr>
      <w:r>
        <w:rPr>
          <w:rFonts w:ascii="Arial" w:hAnsi="Arial"/>
          <w:b/>
          <w:color w:val="0A1F44"/>
          <w:sz w:val="36"/>
        </w:rPr>
        <w:t>SECTION 7 — Post-Launch Support Model</w:t>
      </w:r>
    </w:p>
    <w:p>
      <w:pPr>
        <w:spacing w:before="280" w:after="80"/>
      </w:pPr>
      <w:r>
        <w:rPr>
          <w:rFonts w:ascii="Arial" w:hAnsi="Arial"/>
          <w:b/>
          <w:color w:val="0A1F44"/>
          <w:sz w:val="28"/>
        </w:rPr>
        <w:t>Your Cloud Health Support Team</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0A1F44"/>
            <w:tcMar>
              <w:top w:w="80" w:type="dxa"/>
              <w:bottom w:w="80" w:type="dxa"/>
              <w:left w:w="120" w:type="dxa"/>
              <w:right w:w="120" w:type="dxa"/>
            </w:tcMar>
            <w:tcW w:w="2800" w:type="dxa"/>
          </w:tcPr>
          <w:p>
            <w:r>
              <w:rPr>
                <w:rFonts w:ascii="Arial" w:hAnsi="Arial"/>
                <w:b/>
                <w:color w:val="FFFFFF"/>
                <w:sz w:val="20"/>
              </w:rPr>
              <w:t>Team</w:t>
            </w:r>
          </w:p>
        </w:tc>
        <w:tc>
          <w:tcPr>
            <w:tcW w:type="dxa" w:w="4824"/>
            <w:shd w:val="clear" w:color="auto" w:fill="0A1F44"/>
            <w:tcMar>
              <w:top w:w="80" w:type="dxa"/>
              <w:bottom w:w="80" w:type="dxa"/>
              <w:left w:w="120" w:type="dxa"/>
              <w:right w:w="120" w:type="dxa"/>
            </w:tcMar>
            <w:tcW w:w="6560" w:type="dxa"/>
          </w:tcPr>
          <w:p>
            <w:r>
              <w:rPr>
                <w:rFonts w:ascii="Arial" w:hAnsi="Arial"/>
                <w:b/>
                <w:color w:val="FFFFFF"/>
                <w:sz w:val="20"/>
              </w:rPr>
              <w:t>Responsibilities &amp; SLA</w:t>
            </w:r>
          </w:p>
        </w:tc>
      </w:tr>
      <w:tr>
        <w:tc>
          <w:tcPr>
            <w:tcW w:type="dxa" w:w="4824"/>
            <w:shd w:val="clear" w:color="auto" w:fill="F4F6F8"/>
            <w:tcMar>
              <w:top w:w="80" w:type="dxa"/>
              <w:bottom w:w="80" w:type="dxa"/>
              <w:left w:w="120" w:type="dxa"/>
              <w:right w:w="120" w:type="dxa"/>
            </w:tcMar>
            <w:tcW w:w="2800" w:type="dxa"/>
          </w:tcPr>
          <w:p>
            <w:r>
              <w:rPr>
                <w:rFonts w:ascii="Arial" w:hAnsi="Arial"/>
                <w:color w:val="4A5A6A"/>
                <w:sz w:val="20"/>
              </w:rPr>
              <w:t>Partner Success Manager (PSM)</w:t>
            </w:r>
          </w:p>
        </w:tc>
        <w:tc>
          <w:tcPr>
            <w:tcW w:type="dxa" w:w="4824"/>
            <w:shd w:val="clear" w:color="auto" w:fill="F4F6F8"/>
            <w:tcMar>
              <w:top w:w="80" w:type="dxa"/>
              <w:bottom w:w="80" w:type="dxa"/>
              <w:left w:w="120" w:type="dxa"/>
              <w:right w:w="120" w:type="dxa"/>
            </w:tcMar>
            <w:tcW w:w="6560" w:type="dxa"/>
          </w:tcPr>
          <w:p>
            <w:r>
              <w:rPr>
                <w:rFonts w:ascii="Arial" w:hAnsi="Arial"/>
                <w:color w:val="4A5A6A"/>
                <w:sz w:val="20"/>
              </w:rPr>
              <w:t>Primary point of contact. Strategic guidance, onboarding, QBRs. Response SLA: &lt;4 hours business hours.</w:t>
            </w:r>
          </w:p>
        </w:tc>
      </w:tr>
      <w:tr>
        <w:tc>
          <w:tcPr>
            <w:tcW w:type="dxa" w:w="4824"/>
            <w:shd w:val="clear" w:color="auto" w:fill="FFFFFF"/>
            <w:tcMar>
              <w:top w:w="80" w:type="dxa"/>
              <w:bottom w:w="80" w:type="dxa"/>
              <w:left w:w="120" w:type="dxa"/>
              <w:right w:w="120" w:type="dxa"/>
            </w:tcMar>
            <w:tcW w:w="2800" w:type="dxa"/>
          </w:tcPr>
          <w:p>
            <w:r>
              <w:rPr>
                <w:rFonts w:ascii="Arial" w:hAnsi="Arial"/>
                <w:color w:val="4A5A6A"/>
                <w:sz w:val="20"/>
              </w:rPr>
              <w:t>Clinical Operations</w:t>
            </w:r>
          </w:p>
        </w:tc>
        <w:tc>
          <w:tcPr>
            <w:tcW w:type="dxa" w:w="4824"/>
            <w:shd w:val="clear" w:color="auto" w:fill="FFFFFF"/>
            <w:tcMar>
              <w:top w:w="80" w:type="dxa"/>
              <w:bottom w:w="80" w:type="dxa"/>
              <w:left w:w="120" w:type="dxa"/>
              <w:right w:w="120" w:type="dxa"/>
            </w:tcMar>
            <w:tcW w:w="6560" w:type="dxa"/>
          </w:tcPr>
          <w:p>
            <w:r>
              <w:rPr>
                <w:rFonts w:ascii="Arial" w:hAnsi="Arial"/>
                <w:color w:val="4A5A6A"/>
                <w:sz w:val="20"/>
              </w:rPr>
              <w:t>Prescription routing, pharmacy escalations, refill management (Managed tier). Response SLA: &lt;2 hours business hours.</w:t>
            </w:r>
          </w:p>
        </w:tc>
      </w:tr>
      <w:tr>
        <w:tc>
          <w:tcPr>
            <w:tcW w:type="dxa" w:w="4824"/>
            <w:shd w:val="clear" w:color="auto" w:fill="F4F6F8"/>
            <w:tcMar>
              <w:top w:w="80" w:type="dxa"/>
              <w:bottom w:w="80" w:type="dxa"/>
              <w:left w:w="120" w:type="dxa"/>
              <w:right w:w="120" w:type="dxa"/>
            </w:tcMar>
            <w:tcW w:w="2800" w:type="dxa"/>
          </w:tcPr>
          <w:p>
            <w:r>
              <w:rPr>
                <w:rFonts w:ascii="Arial" w:hAnsi="Arial"/>
                <w:color w:val="4A5A6A"/>
                <w:sz w:val="20"/>
              </w:rPr>
              <w:t>Solutions Engineering</w:t>
            </w:r>
          </w:p>
        </w:tc>
        <w:tc>
          <w:tcPr>
            <w:tcW w:type="dxa" w:w="4824"/>
            <w:shd w:val="clear" w:color="auto" w:fill="F4F6F8"/>
            <w:tcMar>
              <w:top w:w="80" w:type="dxa"/>
              <w:bottom w:w="80" w:type="dxa"/>
              <w:left w:w="120" w:type="dxa"/>
              <w:right w:w="120" w:type="dxa"/>
            </w:tcMar>
            <w:tcW w:w="6560" w:type="dxa"/>
          </w:tcPr>
          <w:p>
            <w:r>
              <w:rPr>
                <w:rFonts w:ascii="Arial" w:hAnsi="Arial"/>
                <w:color w:val="4A5A6A"/>
                <w:sz w:val="20"/>
              </w:rPr>
              <w:t>Technical integrations, API issues, custom build requests. Ticket response SLA: &lt;8 hours.</w:t>
            </w:r>
          </w:p>
        </w:tc>
      </w:tr>
      <w:tr>
        <w:tc>
          <w:tcPr>
            <w:tcW w:type="dxa" w:w="4824"/>
            <w:shd w:val="clear" w:color="auto" w:fill="FFFFFF"/>
            <w:tcMar>
              <w:top w:w="80" w:type="dxa"/>
              <w:bottom w:w="80" w:type="dxa"/>
              <w:left w:w="120" w:type="dxa"/>
              <w:right w:w="120" w:type="dxa"/>
            </w:tcMar>
            <w:tcW w:w="2800" w:type="dxa"/>
          </w:tcPr>
          <w:p>
            <w:r>
              <w:rPr>
                <w:rFonts w:ascii="Arial" w:hAnsi="Arial"/>
                <w:color w:val="4A5A6A"/>
                <w:sz w:val="20"/>
              </w:rPr>
              <w:t>Billing &amp; Compliance</w:t>
            </w:r>
          </w:p>
        </w:tc>
        <w:tc>
          <w:tcPr>
            <w:tcW w:type="dxa" w:w="4824"/>
            <w:shd w:val="clear" w:color="auto" w:fill="FFFFFF"/>
            <w:tcMar>
              <w:top w:w="80" w:type="dxa"/>
              <w:bottom w:w="80" w:type="dxa"/>
              <w:left w:w="120" w:type="dxa"/>
              <w:right w:w="120" w:type="dxa"/>
            </w:tcMar>
            <w:tcW w:w="6560" w:type="dxa"/>
          </w:tcPr>
          <w:p>
            <w:r>
              <w:rPr>
                <w:rFonts w:ascii="Arial" w:hAnsi="Arial"/>
                <w:color w:val="4A5A6A"/>
                <w:sz w:val="20"/>
              </w:rPr>
              <w:t>LegitScript renewals, billing disputes, HIPAA/regulatory questions. Response SLA: &lt;24 hours.</w:t>
            </w:r>
          </w:p>
        </w:tc>
      </w:tr>
    </w:tbl>
    <w:p/>
    <w:p>
      <w:pPr>
        <w:spacing w:before="280" w:after="80"/>
      </w:pPr>
      <w:r>
        <w:rPr>
          <w:rFonts w:ascii="Arial" w:hAnsi="Arial"/>
          <w:b/>
          <w:color w:val="0A1F44"/>
          <w:sz w:val="28"/>
        </w:rPr>
        <w:t>Standard Cadences</w:t>
      </w:r>
    </w:p>
    <w:tbl>
      <w:tblPr>
        <w:tblStyle w:val="TableGrid"/>
        <w:tblW w:type="auto" w:w="0"/>
        <w:jc w:val="left"/>
        <w:tblLook w:firstColumn="1" w:firstRow="1" w:lastColumn="0" w:lastRow="0" w:noHBand="0" w:noVBand="1" w:val="04A0"/>
      </w:tblPr>
      <w:tblGrid>
        <w:gridCol w:w="4824"/>
        <w:gridCol w:w="4824"/>
      </w:tblGrid>
      <w:tr>
        <w:tc>
          <w:tcPr>
            <w:tcW w:type="dxa" w:w="4824"/>
            <w:shd w:val="clear" w:color="auto" w:fill="0A1F44"/>
            <w:tcMar>
              <w:top w:w="80" w:type="dxa"/>
              <w:bottom w:w="80" w:type="dxa"/>
              <w:left w:w="120" w:type="dxa"/>
              <w:right w:w="120" w:type="dxa"/>
            </w:tcMar>
            <w:tcW w:w="2200" w:type="dxa"/>
          </w:tcPr>
          <w:p>
            <w:r>
              <w:rPr>
                <w:rFonts w:ascii="Arial" w:hAnsi="Arial"/>
                <w:b/>
                <w:color w:val="FFFFFF"/>
                <w:sz w:val="20"/>
              </w:rPr>
              <w:t>Cadence</w:t>
            </w:r>
          </w:p>
        </w:tc>
        <w:tc>
          <w:tcPr>
            <w:tcW w:type="dxa" w:w="4824"/>
            <w:shd w:val="clear" w:color="auto" w:fill="0A1F44"/>
            <w:tcMar>
              <w:top w:w="80" w:type="dxa"/>
              <w:bottom w:w="80" w:type="dxa"/>
              <w:left w:w="120" w:type="dxa"/>
              <w:right w:w="120" w:type="dxa"/>
            </w:tcMar>
            <w:tcW w:w="7160" w:type="dxa"/>
          </w:tcPr>
          <w:p>
            <w:r>
              <w:rPr>
                <w:rFonts w:ascii="Arial" w:hAnsi="Arial"/>
                <w:b/>
                <w:color w:val="FFFFFF"/>
                <w:sz w:val="20"/>
              </w:rPr>
              <w:t>Format &amp; Agenda</w:t>
            </w:r>
          </w:p>
        </w:tc>
      </w:tr>
      <w:tr>
        <w:tc>
          <w:tcPr>
            <w:tcW w:type="dxa" w:w="4824"/>
            <w:shd w:val="clear" w:color="auto" w:fill="F4F6F8"/>
            <w:tcMar>
              <w:top w:w="80" w:type="dxa"/>
              <w:bottom w:w="80" w:type="dxa"/>
              <w:left w:w="120" w:type="dxa"/>
              <w:right w:w="120" w:type="dxa"/>
            </w:tcMar>
            <w:tcW w:w="2200" w:type="dxa"/>
          </w:tcPr>
          <w:p>
            <w:r>
              <w:rPr>
                <w:rFonts w:ascii="Arial" w:hAnsi="Arial"/>
                <w:color w:val="4A5A6A"/>
                <w:sz w:val="20"/>
              </w:rPr>
              <w:t>Weekly (Launch Month)</w:t>
            </w:r>
          </w:p>
        </w:tc>
        <w:tc>
          <w:tcPr>
            <w:tcW w:type="dxa" w:w="4824"/>
            <w:shd w:val="clear" w:color="auto" w:fill="F4F6F8"/>
            <w:tcMar>
              <w:top w:w="80" w:type="dxa"/>
              <w:bottom w:w="80" w:type="dxa"/>
              <w:left w:w="120" w:type="dxa"/>
              <w:right w:w="120" w:type="dxa"/>
            </w:tcMar>
            <w:tcW w:w="7160" w:type="dxa"/>
          </w:tcPr>
          <w:p>
            <w:r>
              <w:rPr>
                <w:rFonts w:ascii="Arial" w:hAnsi="Arial"/>
                <w:color w:val="4A5A6A"/>
                <w:sz w:val="20"/>
              </w:rPr>
              <w:t>PSM check-in call — 30 minutes. Review order volume, any operational issues, tracking validation.</w:t>
            </w:r>
          </w:p>
        </w:tc>
      </w:tr>
      <w:tr>
        <w:tc>
          <w:tcPr>
            <w:tcW w:type="dxa" w:w="4824"/>
            <w:shd w:val="clear" w:color="auto" w:fill="FFFFFF"/>
            <w:tcMar>
              <w:top w:w="80" w:type="dxa"/>
              <w:bottom w:w="80" w:type="dxa"/>
              <w:left w:w="120" w:type="dxa"/>
              <w:right w:w="120" w:type="dxa"/>
            </w:tcMar>
            <w:tcW w:w="2200" w:type="dxa"/>
          </w:tcPr>
          <w:p>
            <w:r>
              <w:rPr>
                <w:rFonts w:ascii="Arial" w:hAnsi="Arial"/>
                <w:color w:val="4A5A6A"/>
                <w:sz w:val="20"/>
              </w:rPr>
              <w:t>Bi-weekly (Months 2–3)</w:t>
            </w:r>
          </w:p>
        </w:tc>
        <w:tc>
          <w:tcPr>
            <w:tcW w:type="dxa" w:w="4824"/>
            <w:shd w:val="clear" w:color="auto" w:fill="FFFFFF"/>
            <w:tcMar>
              <w:top w:w="80" w:type="dxa"/>
              <w:bottom w:w="80" w:type="dxa"/>
              <w:left w:w="120" w:type="dxa"/>
              <w:right w:w="120" w:type="dxa"/>
            </w:tcMar>
            <w:tcW w:w="7160" w:type="dxa"/>
          </w:tcPr>
          <w:p>
            <w:r>
              <w:rPr>
                <w:rFonts w:ascii="Arial" w:hAnsi="Arial"/>
                <w:color w:val="4A5A6A"/>
                <w:sz w:val="20"/>
              </w:rPr>
              <w:t>PSM check-in — 30 minutes. Performance review, pharmacy feedback, CX escalation trends.</w:t>
            </w:r>
          </w:p>
        </w:tc>
      </w:tr>
      <w:tr>
        <w:tc>
          <w:tcPr>
            <w:tcW w:type="dxa" w:w="4824"/>
            <w:shd w:val="clear" w:color="auto" w:fill="F4F6F8"/>
            <w:tcMar>
              <w:top w:w="80" w:type="dxa"/>
              <w:bottom w:w="80" w:type="dxa"/>
              <w:left w:w="120" w:type="dxa"/>
              <w:right w:w="120" w:type="dxa"/>
            </w:tcMar>
            <w:tcW w:w="2200" w:type="dxa"/>
          </w:tcPr>
          <w:p>
            <w:r>
              <w:rPr>
                <w:rFonts w:ascii="Arial" w:hAnsi="Arial"/>
                <w:color w:val="4A5A6A"/>
                <w:sz w:val="20"/>
              </w:rPr>
              <w:t>Monthly (Ongoing)</w:t>
            </w:r>
          </w:p>
        </w:tc>
        <w:tc>
          <w:tcPr>
            <w:tcW w:type="dxa" w:w="4824"/>
            <w:shd w:val="clear" w:color="auto" w:fill="F4F6F8"/>
            <w:tcMar>
              <w:top w:w="80" w:type="dxa"/>
              <w:bottom w:w="80" w:type="dxa"/>
              <w:left w:w="120" w:type="dxa"/>
              <w:right w:w="120" w:type="dxa"/>
            </w:tcMar>
            <w:tcW w:w="7160" w:type="dxa"/>
          </w:tcPr>
          <w:p>
            <w:r>
              <w:rPr>
                <w:rFonts w:ascii="Arial" w:hAnsi="Arial"/>
                <w:color w:val="4A5A6A"/>
                <w:sz w:val="20"/>
              </w:rPr>
              <w:t>Partner Success Review — 60 minutes. Volume, revenue, NPS, pharmacy performance, roadmap updates.</w:t>
            </w:r>
          </w:p>
        </w:tc>
      </w:tr>
      <w:tr>
        <w:tc>
          <w:tcPr>
            <w:tcW w:type="dxa" w:w="4824"/>
            <w:shd w:val="clear" w:color="auto" w:fill="FFFFFF"/>
            <w:tcMar>
              <w:top w:w="80" w:type="dxa"/>
              <w:bottom w:w="80" w:type="dxa"/>
              <w:left w:w="120" w:type="dxa"/>
              <w:right w:w="120" w:type="dxa"/>
            </w:tcMar>
            <w:tcW w:w="2200" w:type="dxa"/>
          </w:tcPr>
          <w:p>
            <w:r>
              <w:rPr>
                <w:rFonts w:ascii="Arial" w:hAnsi="Arial"/>
                <w:color w:val="4A5A6A"/>
                <w:sz w:val="20"/>
              </w:rPr>
              <w:t>Quarterly (QBR)</w:t>
            </w:r>
          </w:p>
        </w:tc>
        <w:tc>
          <w:tcPr>
            <w:tcW w:type="dxa" w:w="4824"/>
            <w:shd w:val="clear" w:color="auto" w:fill="FFFFFF"/>
            <w:tcMar>
              <w:top w:w="80" w:type="dxa"/>
              <w:bottom w:w="80" w:type="dxa"/>
              <w:left w:w="120" w:type="dxa"/>
              <w:right w:w="120" w:type="dxa"/>
            </w:tcMar>
            <w:tcW w:w="7160" w:type="dxa"/>
          </w:tcPr>
          <w:p>
            <w:r>
              <w:rPr>
                <w:rFonts w:ascii="Arial" w:hAnsi="Arial"/>
                <w:color w:val="4A5A6A"/>
                <w:sz w:val="20"/>
              </w:rPr>
              <w:t>Executive Business Review — 90 minutes. Strategic review, TAM expansion opportunities, partnership updates.</w:t>
            </w:r>
          </w:p>
        </w:tc>
      </w:tr>
      <w:tr>
        <w:tc>
          <w:tcPr>
            <w:tcW w:type="dxa" w:w="4824"/>
            <w:shd w:val="clear" w:color="auto" w:fill="F4F6F8"/>
            <w:tcMar>
              <w:top w:w="80" w:type="dxa"/>
              <w:bottom w:w="80" w:type="dxa"/>
              <w:left w:w="120" w:type="dxa"/>
              <w:right w:w="120" w:type="dxa"/>
            </w:tcMar>
            <w:tcW w:w="2200" w:type="dxa"/>
          </w:tcPr>
          <w:p>
            <w:r>
              <w:rPr>
                <w:rFonts w:ascii="Arial" w:hAnsi="Arial"/>
                <w:color w:val="4A5A6A"/>
                <w:sz w:val="20"/>
              </w:rPr>
              <w:t>Annual</w:t>
            </w:r>
          </w:p>
        </w:tc>
        <w:tc>
          <w:tcPr>
            <w:tcW w:type="dxa" w:w="4824"/>
            <w:shd w:val="clear" w:color="auto" w:fill="F4F6F8"/>
            <w:tcMar>
              <w:top w:w="80" w:type="dxa"/>
              <w:bottom w:w="80" w:type="dxa"/>
              <w:left w:w="120" w:type="dxa"/>
              <w:right w:w="120" w:type="dxa"/>
            </w:tcMar>
            <w:tcW w:w="7160" w:type="dxa"/>
          </w:tcPr>
          <w:p>
            <w:r>
              <w:rPr>
                <w:rFonts w:ascii="Arial" w:hAnsi="Arial"/>
                <w:color w:val="4A5A6A"/>
                <w:sz w:val="20"/>
              </w:rPr>
              <w:t>Contract renewal + LegitScript renewal review + compliance audit.</w:t>
            </w:r>
          </w:p>
        </w:tc>
      </w:tr>
    </w:tbl>
    <w:p/>
    <w:p>
      <w:pPr>
        <w:spacing w:before="280" w:after="80"/>
      </w:pPr>
      <w:r>
        <w:rPr>
          <w:rFonts w:ascii="Arial" w:hAnsi="Arial"/>
          <w:b/>
          <w:color w:val="0A1F44"/>
          <w:sz w:val="28"/>
        </w:rPr>
        <w:t>Escalation Path</w:t>
      </w:r>
    </w:p>
    <w:p>
      <w:pPr>
        <w:pStyle w:val="ListBullet"/>
        <w:spacing w:before="20" w:after="40"/>
        <w:ind w:left="288"/>
      </w:pPr>
      <w:r>
        <w:rPr>
          <w:rFonts w:ascii="Arial" w:hAnsi="Arial"/>
          <w:color w:val="4A5A6A"/>
          <w:sz w:val="22"/>
        </w:rPr>
        <w:t>Tier 1 — Client self-service via Cloud Health Help Center (docs.cloudhealth.io)</w:t>
      </w:r>
    </w:p>
    <w:p>
      <w:pPr>
        <w:pStyle w:val="ListBullet"/>
        <w:spacing w:before="20" w:after="40"/>
        <w:ind w:left="288"/>
      </w:pPr>
      <w:r>
        <w:rPr>
          <w:rFonts w:ascii="Arial" w:hAnsi="Arial"/>
          <w:color w:val="4A5A6A"/>
          <w:sz w:val="22"/>
        </w:rPr>
        <w:t>Tier 2 — PSM (primary contact for all non-emergency issues)</w:t>
      </w:r>
    </w:p>
    <w:p>
      <w:pPr>
        <w:pStyle w:val="ListBullet"/>
        <w:spacing w:before="20" w:after="40"/>
        <w:ind w:left="288"/>
      </w:pPr>
      <w:r>
        <w:rPr>
          <w:rFonts w:ascii="Arial" w:hAnsi="Arial"/>
          <w:color w:val="4A5A6A"/>
          <w:sz w:val="22"/>
        </w:rPr>
        <w:t>Tier 3 — Solutions Engineering (technical/integration issues)</w:t>
      </w:r>
    </w:p>
    <w:p>
      <w:pPr>
        <w:pStyle w:val="ListBullet"/>
        <w:spacing w:before="20" w:after="40"/>
        <w:ind w:left="288"/>
      </w:pPr>
      <w:r>
        <w:rPr>
          <w:rFonts w:ascii="Arial" w:hAnsi="Arial"/>
          <w:color w:val="4A5A6A"/>
          <w:sz w:val="22"/>
        </w:rPr>
        <w:t>Tier 4 — Clinical Operations Director (clinical safety or regulatory issues)</w:t>
      </w:r>
    </w:p>
    <w:p>
      <w:pPr>
        <w:pStyle w:val="ListBullet"/>
        <w:spacing w:before="20" w:after="40"/>
        <w:ind w:left="288"/>
      </w:pPr>
      <w:r>
        <w:rPr>
          <w:rFonts w:ascii="Arial" w:hAnsi="Arial"/>
          <w:color w:val="4A5A6A"/>
          <w:sz w:val="22"/>
        </w:rPr>
        <w:t>Tier 5 — Cloud Health Executive Team (legal, compliance, or partnership-level issues)</w:t>
      </w:r>
    </w:p>
    <w:p/>
    <w:tbl>
      <w:tblPr>
        <w:tblStyle w:val="TableGrid"/>
        <w:tblW w:type="auto" w:w="0"/>
        <w:tblLook w:firstColumn="1" w:firstRow="1" w:lastColumn="0" w:lastRow="0" w:noHBand="0" w:noVBand="1" w:val="04A0"/>
      </w:tblPr>
      <w:tblGrid>
        <w:gridCol w:w="9648"/>
      </w:tblGrid>
      <w:tr>
        <w:tc>
          <w:tcPr>
            <w:tcW w:type="dxa" w:w="9648"/>
            <w:shd w:val="clear" w:color="auto" w:fill="FFF4E5"/>
            <w:tcMar>
              <w:top w:w="120" w:type="dxa"/>
              <w:bottom w:w="120" w:type="dxa"/>
              <w:left w:w="160" w:type="dxa"/>
              <w:right w:w="160" w:type="dxa"/>
            </w:tcMar>
            <w:tcW w:w="9360" w:type="dxa"/>
          </w:tcPr>
          <w:p>
            <w:r>
              <w:rPr>
                <w:rFonts w:ascii="Arial" w:hAnsi="Arial"/>
                <w:color w:val="924000"/>
                <w:sz w:val="22"/>
              </w:rPr>
              <w:t>🚨  EMERGENCY LINE: For patient safety issues, prescription errors, or active data security incidents, contact Cloud Health's 24/7 Clinical Emergency Line immediately. Contact details provided to client at go-live. This line is not for routine support — use standard ticketing for all non-emergency requests.</w:t>
            </w:r>
          </w:p>
        </w:tc>
      </w:tr>
    </w:tbl>
    <w:p/>
    <w:sectPr w:rsidR="00FC693F" w:rsidRPr="0006063C"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