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360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shd w:val="clear" w:color="auto" w:fill="482AF6"/>
            <w:tcMar>
              <w:top w:w="120" w:type="dxa"/>
              <w:bottom w:w="120" w:type="dxa"/>
              <w:left w:w="120" w:type="dxa"/>
              <w:right w:w="60" w:type="dxa"/>
            </w:tcMar>
          </w:tcPr>
          <w:p>
            <w:pPr>
              <w:jc w:val="left"/>
              <w:spacing w:before="0" w:after="40"/>
            </w:pPr>
            <w:r>
              <w:rPr>
                <w:rFonts w:ascii="Montserrat" w:hAnsi="Montserrat"/>
                <w:b/>
                <w:color w:val="FFFFFF"/>
                <w:sz w:val="36"/>
              </w:rPr>
              <w:t>CLOUD HEALTH</w:t>
            </w:r>
          </w:p>
          <w:p>
            <w:pPr>
              <w:jc w:val="left"/>
              <w:spacing w:before="0" w:after="0"/>
            </w:pPr>
            <w:r>
              <w:rPr>
                <w:rFonts w:ascii="Montserrat" w:hAnsi="Montserrat"/>
                <w:color w:val="A08CFA"/>
                <w:sz w:val="20"/>
              </w:rPr>
              <w:t>Client Onboarding Overview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shd w:val="clear" w:color="auto" w:fill="482AF6"/>
            <w:tcMar>
              <w:top w:w="120" w:type="dxa"/>
              <w:bottom w:w="120" w:type="dxa"/>
              <w:left w:w="60" w:type="dxa"/>
              <w:right w:w="120" w:type="dxa"/>
            </w:tcMar>
          </w:tcPr>
          <w:p>
            <w:pPr>
              <w:jc w:val="right"/>
              <w:spacing w:before="0" w:after="40"/>
            </w:pPr>
            <w:r>
              <w:rPr>
                <w:rFonts w:ascii="Montserrat" w:hAnsi="Montserrat"/>
                <w:color w:val="FFFFFF"/>
                <w:sz w:val="18"/>
              </w:rPr>
              <w:t>🕐 Go-Live in 2–6 Weeks</w:t>
            </w:r>
          </w:p>
          <w:p>
            <w:pPr>
              <w:jc w:val="right"/>
              <w:spacing w:before="0" w:after="0"/>
            </w:pPr>
            <w:r>
              <w:rPr>
                <w:rFonts w:ascii="Montserrat" w:hAnsi="Montserrat"/>
                <w:color w:val="C4B5FD"/>
                <w:sz w:val="15"/>
              </w:rPr>
              <w:t>Your dedicated PSM guides you from kickoff to go-live</w:t>
            </w:r>
          </w:p>
        </w:tc>
      </w:tr>
    </w:tbl>
    <w:p>
      <w:pPr>
        <w:spacing w:before="0" w:after="60"/>
      </w:pPr>
    </w:p>
    <w:p>
      <w:pPr>
        <w:spacing w:before="80" w:after="40"/>
        <w:shd w:val="clear" w:color="auto" w:fill="482AF6"/>
      </w:pPr>
      <w:r>
        <w:rPr>
          <w:rFonts w:ascii="Montserrat" w:hAnsi="Montserrat"/>
          <w:b/>
          <w:color w:val="FFFFFF"/>
          <w:sz w:val="15"/>
        </w:rPr>
        <w:t xml:space="preserve">  WHAT TO EXPECT  </w:t>
      </w:r>
    </w:p>
    <w:p>
      <w:pPr>
        <w:spacing w:before="20" w:after="20"/>
      </w:pPr>
      <w:r>
        <w:rPr>
          <w:rFonts w:ascii="Montserrat" w:hAnsi="Montserrat"/>
          <w:b w:val="0"/>
          <w:sz w:val="17"/>
        </w:rPr>
        <w:t>Cloud Health assigns you a dedicated Partner Success Manager (PSM) on Day 1. Over 2–6 weeks, your PSM coordinates frontend build, backend configuration, clinical setup, and QA — so you arrive at go-live ready to take patient orders.</w:t>
      </w:r>
    </w:p>
    <w:p>
      <w:pPr>
        <w:spacing w:before="0" w:after="40"/>
      </w:pPr>
    </w:p>
    <w:p>
      <w:pPr>
        <w:spacing w:before="80" w:after="40"/>
        <w:shd w:val="clear" w:color="auto" w:fill="482AF6"/>
      </w:pPr>
      <w:r>
        <w:rPr>
          <w:rFonts w:ascii="Montserrat" w:hAnsi="Montserrat"/>
          <w:b/>
          <w:color w:val="FFFFFF"/>
          <w:sz w:val="15"/>
        </w:rPr>
        <w:t xml:space="preserve">  11-PHASE LAUNCH TIMELINE 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648"/>
            <w:shd w:val="clear" w:color="auto" w:fill="482AF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FFFFFF"/>
                <w:sz w:val="16"/>
              </w:rPr>
              <w:t>Phase</w:t>
            </w:r>
          </w:p>
        </w:tc>
        <w:tc>
          <w:tcPr>
            <w:tcW w:type="dxa" w:w="4320"/>
            <w:shd w:val="clear" w:color="auto" w:fill="482AF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84"/>
            <w:shd w:val="clear" w:color="auto" w:fill="482AF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FFFFFF"/>
                <w:sz w:val="16"/>
              </w:rPr>
              <w:t>Timing</w:t>
            </w:r>
          </w:p>
        </w:tc>
        <w:tc>
          <w:tcPr>
            <w:tcW w:type="dxa" w:w="2088"/>
            <w:shd w:val="clear" w:color="auto" w:fill="482AF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1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Kickoff &amp; Scope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1–2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C]</w:t>
            </w:r>
          </w:p>
        </w:tc>
      </w:tr>
      <w:tr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2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Access, Domains &amp; Setup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2–3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[CH]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3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Brand &amp; Patient Experience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2–4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 → CH]</w:t>
            </w:r>
          </w:p>
        </w:tc>
      </w:tr>
      <w:tr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4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Products &amp; Medication Mapping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3–5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C]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5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Intake &amp; Checkout Config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4–7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C]</w:t>
            </w:r>
          </w:p>
        </w:tc>
      </w:tr>
      <w:tr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6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Provider &amp; Clinical Workflow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4–6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P]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7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Pharmacy &amp; Fulfillment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4–6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PH]</w:t>
            </w:r>
          </w:p>
        </w:tc>
      </w:tr>
      <w:tr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8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Patient Portal &amp; Messaging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6–9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[CH]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9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Compliance &amp; LegitScript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1–10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 + CH]</w:t>
            </w:r>
          </w:p>
        </w:tc>
      </w:tr>
      <w:tr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10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CX &amp; Marketing Setup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7–10</w:t>
            </w:r>
          </w:p>
        </w:tc>
        <w:tc>
          <w:tcPr>
            <w:tcW w:type="dxa" w:w="2520"/>
            <w:shd w:val="clear" w:color="auto" w:fill="FFFF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 + CH]</w:t>
            </w:r>
          </w:p>
        </w:tc>
      </w:tr>
      <w:tr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11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Montserrat" w:hAnsi="Montserrat"/>
                <w:sz w:val="15"/>
              </w:rPr>
              <w:t>E2E Testing, QA &amp; Go-Live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sz w:val="15"/>
              </w:rPr>
              <w:t>Days 10–14</w:t>
            </w:r>
          </w:p>
        </w:tc>
        <w:tc>
          <w:tcPr>
            <w:tcW w:type="dxa" w:w="2520"/>
            <w:shd w:val="clear" w:color="auto" w:fill="E7F1FF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[CH + C]</w:t>
            </w:r>
          </w:p>
        </w:tc>
      </w:tr>
    </w:tbl>
    <w:p>
      <w:pPr>
        <w:jc w:val="right"/>
        <w:spacing w:before="30" w:after="60"/>
      </w:pPr>
      <w:r>
        <w:rPr>
          <w:rFonts w:ascii="Montserrat" w:hAnsi="Montserrat"/>
          <w:color w:val="3A3A4A"/>
          <w:sz w:val="14"/>
        </w:rPr>
        <w:t>[CH] = Cloud Health   [C] = Client   [P] = Provider Group   [PH] = Pharmacy</w:t>
      </w:r>
    </w:p>
    <w:p>
      <w:pPr>
        <w:spacing w:before="80" w:after="40"/>
        <w:shd w:val="clear" w:color="auto" w:fill="482AF6"/>
      </w:pPr>
      <w:r>
        <w:rPr>
          <w:rFonts w:ascii="Montserrat" w:hAnsi="Montserrat"/>
          <w:b/>
          <w:color w:val="FFFFFF"/>
          <w:sz w:val="15"/>
        </w:rPr>
        <w:t xml:space="preserve">  WHAT YOU PROVIDE  •  KEY DECISIONS 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50"/>
            </w:pPr>
            <w:r>
              <w:rPr>
                <w:rFonts w:ascii="Montserrat" w:hAnsi="Montserrat"/>
                <w:b/>
                <w:color w:val="482AF6"/>
                <w:sz w:val="16"/>
              </w:rPr>
              <w:t>WHAT YOU PROVIDE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Brand assets: logo, colors, fonts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Website domain &amp; hosting access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Intake quiz copy &amp; treatment selection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Signed LegitScript OPP app (or existing cert #)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Stripe account or payment processor details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Doctor group selection (Standard or Scale)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Pharmacy partner preference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Medication list + pricing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CX team staffing / ticketing tool</w:t>
            </w:r>
          </w:p>
          <w:p>
            <w:pPr>
              <w:ind w:left="144"/>
              <w:spacing w:before="18" w:after="18"/>
            </w:pPr>
            <w:r>
              <w:rPr>
                <w:rFonts w:ascii="Montserrat" w:hAnsi="Montserrat"/>
                <w:color w:val="3A3A4A"/>
                <w:sz w:val="15"/>
              </w:rPr>
              <w:t>▸  Marketing pixels &amp; tracking IDs (GA4, Meta, TikTok)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  <w:tcMar>
              <w:top w:w="60" w:type="dxa"/>
              <w:bottom w:w="60" w:type="dxa"/>
              <w:left w:w="80" w:type="dxa"/>
              <w:right w:w="0" w:type="dxa"/>
            </w:tcMar>
          </w:tcPr>
          <w:p>
            <w:pPr>
              <w:spacing w:before="0" w:after="50"/>
            </w:pPr>
            <w:r>
              <w:rPr>
                <w:rFonts w:ascii="Montserrat" w:hAnsi="Montserrat"/>
                <w:b/>
                <w:color w:val="482AF6"/>
                <w:sz w:val="16"/>
              </w:rPr>
              <w:t>KEY DECISIONS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LegitScript: </w:t>
            </w:r>
            <w:r>
              <w:rPr>
                <w:rFonts w:ascii="Montserrat" w:hAnsi="Montserrat"/>
                <w:color w:val="3A3A4A"/>
                <w:sz w:val="15"/>
              </w:rPr>
              <w:t>New app (~30 days) or existing cert?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Doctor Group: </w:t>
            </w:r>
            <w:r>
              <w:rPr>
                <w:rFonts w:ascii="Montserrat" w:hAnsi="Montserrat"/>
                <w:color w:val="3A3A4A"/>
                <w:sz w:val="15"/>
              </w:rPr>
              <w:t>Standard (Dermifi) or Scale (MDI/partners &gt;500 Rx/mo)?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Pharmacy: </w:t>
            </w:r>
            <w:r>
              <w:rPr>
                <w:rFonts w:ascii="Montserrat" w:hAnsi="Montserrat"/>
                <w:color w:val="3A3A4A"/>
                <w:sz w:val="15"/>
              </w:rPr>
              <w:t>Promise/PerfectRx · Foothills · Smartscripts · Southend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Checkout: </w:t>
            </w:r>
            <w:r>
              <w:rPr>
                <w:rFonts w:ascii="Montserrat" w:hAnsi="Montserrat"/>
                <w:color w:val="3A3A4A"/>
                <w:sz w:val="15"/>
              </w:rPr>
              <w:t>Cloud Health Stripe master or custom processor?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Attribution: </w:t>
            </w:r>
            <w:r>
              <w:rPr>
                <w:rFonts w:ascii="Montserrat" w:hAnsi="Montserrat"/>
                <w:color w:val="3A3A4A"/>
                <w:sz w:val="15"/>
              </w:rPr>
              <w:t>Last-click or multi-touch? Recommended: 7-day click, 1-day view</w:t>
            </w:r>
          </w:p>
          <w:p>
            <w:pPr>
              <w:spacing w:before="22" w:after="22"/>
            </w:pPr>
            <w:r>
              <w:rPr>
                <w:rFonts w:ascii="Montserrat" w:hAnsi="Montserrat"/>
                <w:b/>
                <w:color w:val="A08CFA"/>
                <w:sz w:val="15"/>
              </w:rPr>
              <w:t xml:space="preserve">Affiliate Nets: </w:t>
            </w:r>
            <w:r>
              <w:rPr>
                <w:rFonts w:ascii="Montserrat" w:hAnsi="Montserrat"/>
                <w:color w:val="3A3A4A"/>
                <w:sz w:val="15"/>
              </w:rPr>
              <w:t>Impact · ShareASale/Awin · PartnerStack · CJ · Rakuten</w:t>
            </w:r>
          </w:p>
        </w:tc>
      </w:tr>
    </w:tbl>
    <w:p>
      <w:pPr>
        <w:spacing w:before="0" w:after="40"/>
      </w:pPr>
    </w:p>
    <w:p>
      <w:pPr>
        <w:spacing w:before="80" w:after="40"/>
        <w:shd w:val="clear" w:color="auto" w:fill="482AF6"/>
      </w:pPr>
      <w:r>
        <w:rPr>
          <w:rFonts w:ascii="Montserrat" w:hAnsi="Montserrat"/>
          <w:b/>
          <w:color w:val="FFFFFF"/>
          <w:sz w:val="15"/>
        </w:rPr>
        <w:t xml:space="preserve">  GO-LIVE SIGNOFF AREAS 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Frontend &amp; Intake QA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Checkout &amp; Payments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Clinical Workflow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Pharmacy Routing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Patient Portal</w:t>
            </w:r>
          </w:p>
        </w:tc>
      </w:tr>
      <w:tr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Compliance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CX Readiness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Marketing Pixels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E2E Test Cases</w:t>
            </w:r>
          </w:p>
        </w:tc>
        <w:tc>
          <w:tcPr>
            <w:tcW w:type="dxa" w:w="2016"/>
            <w:shd w:val="clear" w:color="auto" w:fill="E7F1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color w:val="3A3A4A"/>
                <w:sz w:val="15"/>
              </w:rPr>
              <w:t>☐  Final Authorization</w:t>
            </w:r>
          </w:p>
        </w:tc>
      </w:tr>
    </w:tbl>
    <w:p>
      <w:pPr>
        <w:spacing w:before="0"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shd w:val="clear" w:color="auto" w:fill="482AF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Partner Success Manager</w:t>
              <w:br/>
            </w:r>
            <w:r>
              <w:rPr>
                <w:rFonts w:ascii="Montserrat" w:hAnsi="Montserrat"/>
                <w:color w:val="FFFFFF"/>
                <w:sz w:val="14"/>
              </w:rPr>
              <w:t>Assigned on Day 1 kickoff call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shd w:val="clear" w:color="auto" w:fill="482AF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Platform Support</w:t>
              <w:br/>
            </w:r>
            <w:r>
              <w:rPr>
                <w:rFonts w:ascii="Montserrat" w:hAnsi="Montserrat"/>
                <w:color w:val="FFFFFF"/>
                <w:sz w:val="14"/>
              </w:rPr>
              <w:t>support@cloudhealth.io  |  99.9% uptime SLA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shd w:val="clear" w:color="auto" w:fill="482AF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  <w:spacing w:before="0" w:after="0"/>
            </w:pPr>
            <w:r>
              <w:rPr>
                <w:rFonts w:ascii="Montserrat" w:hAnsi="Montserrat"/>
                <w:b/>
                <w:color w:val="A08CFA"/>
                <w:sz w:val="15"/>
              </w:rPr>
              <w:t>Go-Live Target</w:t>
              <w:br/>
            </w:r>
            <w:r>
              <w:rPr>
                <w:rFonts w:ascii="Montserrat" w:hAnsi="Montserrat"/>
                <w:color w:val="FFFFFF"/>
                <w:sz w:val="14"/>
              </w:rPr>
              <w:t>2–6 weeks from signed contract</w:t>
            </w:r>
          </w:p>
        </w:tc>
      </w:tr>
    </w:tbl>
    <w:sectPr w:rsidR="00FC693F" w:rsidRPr="0006063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